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FA2" w:rsidRPr="006077FA" w:rsidRDefault="00DE007F">
      <w:pPr>
        <w:pStyle w:val="Heading3"/>
        <w:keepNext w:val="0"/>
        <w:numPr>
          <w:ilvl w:val="2"/>
          <w:numId w:val="0"/>
        </w:numPr>
        <w:tabs>
          <w:tab w:val="num" w:pos="0"/>
        </w:tabs>
        <w:spacing w:before="0"/>
        <w:ind w:left="720" w:hanging="720"/>
        <w:jc w:val="center"/>
        <w:rPr>
          <w:rFonts w:ascii="Times New Roman" w:eastAsia="Times New Roman" w:hAnsi="Times New Roman" w:cs="Times New Roman"/>
          <w:bCs w:val="0"/>
          <w:color w:val="auto"/>
        </w:rPr>
      </w:pPr>
      <w:r w:rsidRPr="006077FA">
        <w:rPr>
          <w:rFonts w:ascii="Times New Roman" w:hAnsi="Times New Roman" w:cs="Times New Roman"/>
          <w:color w:val="auto"/>
        </w:rPr>
        <w:t xml:space="preserve">Информация </w:t>
      </w:r>
      <w:r w:rsidRPr="006077FA">
        <w:rPr>
          <w:rFonts w:ascii="Times New Roman" w:eastAsia="Times New Roman" w:hAnsi="Times New Roman" w:cs="Times New Roman"/>
          <w:bCs w:val="0"/>
          <w:color w:val="auto"/>
        </w:rPr>
        <w:t>о результатах экспертно-аналитического мероприятия</w:t>
      </w:r>
    </w:p>
    <w:p w:rsidR="00CC4575" w:rsidRPr="006077FA" w:rsidRDefault="00DE007F" w:rsidP="005A33CE">
      <w:pPr>
        <w:jc w:val="center"/>
        <w:rPr>
          <w:b/>
        </w:rPr>
      </w:pPr>
      <w:r w:rsidRPr="006077FA">
        <w:rPr>
          <w:b/>
        </w:rPr>
        <w:t xml:space="preserve">«Экспертиза проекта бюджета </w:t>
      </w:r>
      <w:r w:rsidR="005A33CE" w:rsidRPr="006077FA">
        <w:rPr>
          <w:b/>
        </w:rPr>
        <w:t xml:space="preserve">городского округа Кинешма </w:t>
      </w:r>
    </w:p>
    <w:p w:rsidR="00E83FA2" w:rsidRPr="006077FA" w:rsidRDefault="005A33CE" w:rsidP="005A33CE">
      <w:pPr>
        <w:jc w:val="center"/>
        <w:rPr>
          <w:b/>
        </w:rPr>
      </w:pPr>
      <w:r w:rsidRPr="006077FA">
        <w:rPr>
          <w:b/>
        </w:rPr>
        <w:t>на 202</w:t>
      </w:r>
      <w:r w:rsidR="00D66A04" w:rsidRPr="006077FA">
        <w:rPr>
          <w:b/>
        </w:rPr>
        <w:t>4</w:t>
      </w:r>
      <w:r w:rsidRPr="006077FA">
        <w:rPr>
          <w:b/>
        </w:rPr>
        <w:t xml:space="preserve"> и плановый период 202</w:t>
      </w:r>
      <w:r w:rsidR="00D66A04" w:rsidRPr="006077FA">
        <w:rPr>
          <w:b/>
        </w:rPr>
        <w:t>5</w:t>
      </w:r>
      <w:r w:rsidRPr="006077FA">
        <w:rPr>
          <w:b/>
        </w:rPr>
        <w:t xml:space="preserve"> и 202</w:t>
      </w:r>
      <w:r w:rsidR="00D66A04" w:rsidRPr="006077FA">
        <w:rPr>
          <w:b/>
        </w:rPr>
        <w:t>6</w:t>
      </w:r>
      <w:r w:rsidR="00CC4575" w:rsidRPr="006077FA">
        <w:rPr>
          <w:b/>
        </w:rPr>
        <w:t xml:space="preserve"> </w:t>
      </w:r>
      <w:r w:rsidRPr="006077FA">
        <w:rPr>
          <w:b/>
        </w:rPr>
        <w:t>годов</w:t>
      </w:r>
      <w:r w:rsidR="00DE007F" w:rsidRPr="006077FA">
        <w:rPr>
          <w:b/>
        </w:rPr>
        <w:t>»</w:t>
      </w:r>
    </w:p>
    <w:p w:rsidR="00604058" w:rsidRPr="006077FA" w:rsidRDefault="00604058" w:rsidP="005A33CE">
      <w:pPr>
        <w:jc w:val="center"/>
        <w:rPr>
          <w:b/>
        </w:rPr>
      </w:pPr>
    </w:p>
    <w:p w:rsidR="00604058" w:rsidRPr="006077FA" w:rsidRDefault="00604058" w:rsidP="00E55A87">
      <w:pPr>
        <w:pStyle w:val="Default"/>
        <w:ind w:firstLine="709"/>
        <w:jc w:val="both"/>
        <w:rPr>
          <w:color w:val="auto"/>
        </w:rPr>
      </w:pPr>
      <w:r w:rsidRPr="006077FA">
        <w:rPr>
          <w:color w:val="auto"/>
        </w:rPr>
        <w:t>Представленный проект решения на 202</w:t>
      </w:r>
      <w:r w:rsidR="00D66A04" w:rsidRPr="006077FA">
        <w:rPr>
          <w:color w:val="auto"/>
        </w:rPr>
        <w:t>4</w:t>
      </w:r>
      <w:r w:rsidRPr="006077FA">
        <w:rPr>
          <w:color w:val="auto"/>
        </w:rPr>
        <w:t xml:space="preserve"> год и плановый период 202</w:t>
      </w:r>
      <w:r w:rsidR="00D66A04" w:rsidRPr="006077FA">
        <w:rPr>
          <w:color w:val="auto"/>
        </w:rPr>
        <w:t>5</w:t>
      </w:r>
      <w:r w:rsidRPr="006077FA">
        <w:rPr>
          <w:color w:val="auto"/>
        </w:rPr>
        <w:t xml:space="preserve"> и 202</w:t>
      </w:r>
      <w:r w:rsidR="00D66A04" w:rsidRPr="006077FA">
        <w:rPr>
          <w:color w:val="auto"/>
        </w:rPr>
        <w:t>6</w:t>
      </w:r>
      <w:r w:rsidRPr="006077FA">
        <w:rPr>
          <w:color w:val="auto"/>
        </w:rPr>
        <w:t xml:space="preserve"> годов,  перечень и содержание документов, представленных одновременно с проектом решения, соответствуют требованиям Бюджетного кодекса Российской Федерации и Положения о бюджетном процессе в городском округе Кинешма.</w:t>
      </w:r>
    </w:p>
    <w:p w:rsidR="00416516" w:rsidRPr="006077FA" w:rsidRDefault="00416516" w:rsidP="00416516">
      <w:pPr>
        <w:ind w:firstLine="709"/>
      </w:pPr>
      <w:r w:rsidRPr="006077FA">
        <w:t xml:space="preserve">Динамика </w:t>
      </w:r>
      <w:r w:rsidRPr="006077FA">
        <w:rPr>
          <w:bCs/>
        </w:rPr>
        <w:t>основных характеристик бюджета</w:t>
      </w:r>
      <w:r w:rsidRPr="006077FA">
        <w:t xml:space="preserve"> городского округа Кинешма</w:t>
      </w:r>
      <w:r w:rsidRPr="006077FA">
        <w:rPr>
          <w:bCs/>
        </w:rPr>
        <w:t xml:space="preserve"> </w:t>
      </w:r>
      <w:r w:rsidRPr="006077FA">
        <w:t>на 202</w:t>
      </w:r>
      <w:r w:rsidR="00D66A04" w:rsidRPr="006077FA">
        <w:t>4</w:t>
      </w:r>
      <w:r w:rsidR="00906BB6" w:rsidRPr="006077FA">
        <w:t xml:space="preserve"> </w:t>
      </w:r>
      <w:r w:rsidRPr="006077FA">
        <w:t>год и плановый период 202</w:t>
      </w:r>
      <w:r w:rsidR="00D66A04" w:rsidRPr="006077FA">
        <w:t>5</w:t>
      </w:r>
      <w:r w:rsidR="00906BB6" w:rsidRPr="006077FA">
        <w:t xml:space="preserve"> </w:t>
      </w:r>
      <w:r w:rsidRPr="006077FA">
        <w:t xml:space="preserve">и </w:t>
      </w:r>
      <w:r w:rsidR="00D66A04" w:rsidRPr="006077FA">
        <w:t>6</w:t>
      </w:r>
      <w:r w:rsidRPr="006077FA">
        <w:t>одов</w:t>
      </w:r>
      <w:r w:rsidRPr="006077FA">
        <w:rPr>
          <w:i/>
        </w:rPr>
        <w:t xml:space="preserve"> </w:t>
      </w:r>
      <w:r w:rsidRPr="006077FA">
        <w:t xml:space="preserve"> характеризуется следующими изменениями: </w:t>
      </w:r>
    </w:p>
    <w:p w:rsidR="00416516" w:rsidRPr="006077FA" w:rsidRDefault="00416516" w:rsidP="00416516">
      <w:pPr>
        <w:pStyle w:val="22"/>
        <w:ind w:firstLine="0"/>
        <w:rPr>
          <w:sz w:val="24"/>
          <w:szCs w:val="24"/>
        </w:rPr>
      </w:pPr>
      <w:r w:rsidRPr="006077FA">
        <w:rPr>
          <w:sz w:val="24"/>
          <w:szCs w:val="24"/>
        </w:rPr>
        <w:t xml:space="preserve">       </w:t>
      </w:r>
      <w:r w:rsidRPr="006077FA">
        <w:rPr>
          <w:sz w:val="24"/>
          <w:szCs w:val="24"/>
        </w:rPr>
        <w:tab/>
        <w:t xml:space="preserve"> в 202</w:t>
      </w:r>
      <w:r w:rsidR="00D66A04" w:rsidRPr="006077FA">
        <w:rPr>
          <w:sz w:val="24"/>
          <w:szCs w:val="24"/>
        </w:rPr>
        <w:t>4</w:t>
      </w:r>
      <w:r w:rsidRPr="006077FA">
        <w:rPr>
          <w:sz w:val="24"/>
          <w:szCs w:val="24"/>
        </w:rPr>
        <w:t xml:space="preserve"> году прогноз доходов бюджета городского округа Кинешма имеет тенденцию к </w:t>
      </w:r>
      <w:r w:rsidR="00D66A04" w:rsidRPr="006077FA">
        <w:rPr>
          <w:sz w:val="24"/>
          <w:szCs w:val="24"/>
        </w:rPr>
        <w:t>увеличению</w:t>
      </w:r>
      <w:r w:rsidRPr="006077FA">
        <w:rPr>
          <w:sz w:val="24"/>
          <w:szCs w:val="24"/>
        </w:rPr>
        <w:t xml:space="preserve"> по сравнению с ожидаемым исполнением за 202</w:t>
      </w:r>
      <w:r w:rsidR="00D66A04" w:rsidRPr="006077FA">
        <w:rPr>
          <w:sz w:val="24"/>
          <w:szCs w:val="24"/>
        </w:rPr>
        <w:t>3</w:t>
      </w:r>
      <w:r w:rsidRPr="006077FA">
        <w:rPr>
          <w:sz w:val="24"/>
          <w:szCs w:val="24"/>
        </w:rPr>
        <w:t xml:space="preserve"> год на                    </w:t>
      </w:r>
      <w:r w:rsidR="00360ACD" w:rsidRPr="006077FA">
        <w:rPr>
          <w:sz w:val="24"/>
          <w:szCs w:val="24"/>
        </w:rPr>
        <w:t>249 691,66</w:t>
      </w:r>
      <w:r w:rsidRPr="006077FA">
        <w:rPr>
          <w:sz w:val="24"/>
          <w:szCs w:val="24"/>
        </w:rPr>
        <w:t xml:space="preserve"> тыс.руб., а расходов на </w:t>
      </w:r>
      <w:r w:rsidR="00360ACD" w:rsidRPr="006077FA">
        <w:rPr>
          <w:sz w:val="24"/>
          <w:szCs w:val="24"/>
        </w:rPr>
        <w:t xml:space="preserve">270 812,26 </w:t>
      </w:r>
      <w:r w:rsidRPr="006077FA">
        <w:rPr>
          <w:sz w:val="24"/>
          <w:szCs w:val="24"/>
        </w:rPr>
        <w:t xml:space="preserve">тыс.руб., дефицит увеличится на </w:t>
      </w:r>
      <w:r w:rsidR="00360ACD" w:rsidRPr="006077FA">
        <w:rPr>
          <w:sz w:val="24"/>
          <w:szCs w:val="24"/>
        </w:rPr>
        <w:t>21 120,6</w:t>
      </w:r>
      <w:r w:rsidRPr="006077FA">
        <w:rPr>
          <w:sz w:val="24"/>
          <w:szCs w:val="24"/>
        </w:rPr>
        <w:t xml:space="preserve"> тыс.руб.  и составит  </w:t>
      </w:r>
      <w:r w:rsidR="00360ACD" w:rsidRPr="006077FA">
        <w:rPr>
          <w:sz w:val="24"/>
          <w:szCs w:val="24"/>
        </w:rPr>
        <w:t>51 403,53</w:t>
      </w:r>
      <w:r w:rsidRPr="006077FA">
        <w:rPr>
          <w:sz w:val="24"/>
          <w:szCs w:val="24"/>
        </w:rPr>
        <w:t xml:space="preserve"> тыс.руб.</w:t>
      </w:r>
    </w:p>
    <w:p w:rsidR="00906BB6" w:rsidRPr="006077FA" w:rsidRDefault="00416516" w:rsidP="00416516">
      <w:pPr>
        <w:ind w:firstLine="708"/>
        <w:jc w:val="both"/>
      </w:pPr>
      <w:r w:rsidRPr="006077FA">
        <w:t xml:space="preserve">- </w:t>
      </w:r>
      <w:r w:rsidR="00360ACD" w:rsidRPr="006077FA">
        <w:t>в 2025 году прогноз доходов бюджета городского округа Кинешма имеет тенденцию к уменьшению   на 1 811 682,4 тыс. руб.  и  прогнозируется  в объеме 1 491 422,10  тыс. руб.,  а расходы  в объеме 1 491 422,10 тыс.руб. или на 1 863 085,93 меньше уровня прогноза 2024 года.</w:t>
      </w:r>
    </w:p>
    <w:p w:rsidR="00416516" w:rsidRPr="006077FA" w:rsidRDefault="00416516" w:rsidP="00416516">
      <w:pPr>
        <w:ind w:firstLine="708"/>
        <w:jc w:val="both"/>
      </w:pPr>
      <w:r w:rsidRPr="006077FA">
        <w:t>В 202</w:t>
      </w:r>
      <w:r w:rsidR="00360ACD" w:rsidRPr="006077FA">
        <w:t>6</w:t>
      </w:r>
      <w:r w:rsidRPr="006077FA">
        <w:t xml:space="preserve"> году прогноз доходов бюджета городского округа Кинешма имеет тенденцию к уменьшению  на </w:t>
      </w:r>
      <w:r w:rsidR="00205A5E" w:rsidRPr="006077FA">
        <w:t>47 259,1</w:t>
      </w:r>
      <w:r w:rsidRPr="006077FA">
        <w:t xml:space="preserve"> тыс.руб. или на </w:t>
      </w:r>
      <w:r w:rsidR="00205A5E" w:rsidRPr="006077FA">
        <w:t>96,8</w:t>
      </w:r>
      <w:r w:rsidRPr="006077FA">
        <w:t>% по сравнению с прогнозом 202</w:t>
      </w:r>
      <w:r w:rsidR="00205A5E" w:rsidRPr="006077FA">
        <w:t>5года.</w:t>
      </w:r>
    </w:p>
    <w:p w:rsidR="00071301" w:rsidRPr="006077FA" w:rsidRDefault="00416516" w:rsidP="00DE30C1">
      <w:pPr>
        <w:autoSpaceDE w:val="0"/>
        <w:autoSpaceDN w:val="0"/>
        <w:adjustRightInd w:val="0"/>
        <w:ind w:firstLine="709"/>
        <w:jc w:val="both"/>
        <w:rPr>
          <w:color w:val="FF0000"/>
        </w:rPr>
      </w:pPr>
      <w:r w:rsidRPr="006077FA">
        <w:t xml:space="preserve">   Безвозмездные поступления составляют основную долю поступлений в общем объеме доходов проекта бюджета на 202</w:t>
      </w:r>
      <w:r w:rsidR="00205A5E" w:rsidRPr="006077FA">
        <w:t>4</w:t>
      </w:r>
      <w:r w:rsidRPr="006077FA">
        <w:t xml:space="preserve"> -202</w:t>
      </w:r>
      <w:r w:rsidR="00205A5E" w:rsidRPr="006077FA">
        <w:t>6</w:t>
      </w:r>
      <w:r w:rsidRPr="006077FA">
        <w:t xml:space="preserve"> годы  соответственно </w:t>
      </w:r>
      <w:r w:rsidR="00071301" w:rsidRPr="006077FA">
        <w:t>8</w:t>
      </w:r>
      <w:r w:rsidR="00205A5E" w:rsidRPr="006077FA">
        <w:t>8</w:t>
      </w:r>
      <w:r w:rsidR="00071301" w:rsidRPr="006077FA">
        <w:t>,</w:t>
      </w:r>
      <w:r w:rsidR="00205A5E" w:rsidRPr="006077FA">
        <w:t>0</w:t>
      </w:r>
      <w:r w:rsidRPr="006077FA">
        <w:t xml:space="preserve">%; </w:t>
      </w:r>
      <w:r w:rsidR="00205A5E" w:rsidRPr="006077FA">
        <w:t>72,1</w:t>
      </w:r>
      <w:r w:rsidRPr="006077FA">
        <w:t xml:space="preserve">%; </w:t>
      </w:r>
      <w:r w:rsidR="00071301" w:rsidRPr="006077FA">
        <w:t>6</w:t>
      </w:r>
      <w:r w:rsidR="00205A5E" w:rsidRPr="006077FA">
        <w:t>9</w:t>
      </w:r>
      <w:r w:rsidR="00071301" w:rsidRPr="006077FA">
        <w:t>,</w:t>
      </w:r>
      <w:r w:rsidR="00205A5E" w:rsidRPr="006077FA">
        <w:t>7</w:t>
      </w:r>
      <w:r w:rsidRPr="006077FA">
        <w:t>%</w:t>
      </w:r>
      <w:r w:rsidR="005304BF" w:rsidRPr="006077FA">
        <w:t>.</w:t>
      </w:r>
      <w:r w:rsidRPr="006077FA">
        <w:t xml:space="preserve"> </w:t>
      </w:r>
      <w:r w:rsidR="00DE30C1" w:rsidRPr="006077FA">
        <w:t xml:space="preserve"> </w:t>
      </w:r>
      <w:r w:rsidRPr="006077FA">
        <w:t>Бюджет имеет социальную направленность</w:t>
      </w:r>
      <w:r w:rsidR="00071301" w:rsidRPr="006077FA">
        <w:t xml:space="preserve">. </w:t>
      </w:r>
      <w:r w:rsidRPr="006077FA">
        <w:t xml:space="preserve"> </w:t>
      </w:r>
    </w:p>
    <w:p w:rsidR="00416516" w:rsidRPr="006077FA" w:rsidRDefault="00416516" w:rsidP="00416516">
      <w:pPr>
        <w:ind w:firstLine="708"/>
        <w:jc w:val="both"/>
        <w:rPr>
          <w:color w:val="FF0000"/>
        </w:rPr>
      </w:pPr>
      <w:r w:rsidRPr="006077FA">
        <w:t>В соответствии с требованиями бюджетного законодательства проект решения сформирован в программно</w:t>
      </w:r>
      <w:r w:rsidR="00DE30C1" w:rsidRPr="006077FA">
        <w:t xml:space="preserve">й структуре расходов на основе </w:t>
      </w:r>
      <w:r w:rsidRPr="006077FA">
        <w:t xml:space="preserve"> муниципальных программ городского округа Кинешма.</w:t>
      </w:r>
    </w:p>
    <w:p w:rsidR="00416516" w:rsidRPr="006077FA" w:rsidRDefault="00416516" w:rsidP="00416516">
      <w:pPr>
        <w:ind w:firstLine="708"/>
        <w:jc w:val="both"/>
        <w:rPr>
          <w:color w:val="FF0000"/>
        </w:rPr>
      </w:pPr>
      <w:r w:rsidRPr="006077FA">
        <w:t>Расходы на реализацию муниципальных программ в общем объеме расходов бюджета городского округа Кинешма в 202</w:t>
      </w:r>
      <w:r w:rsidR="00205A5E" w:rsidRPr="006077FA">
        <w:t>4</w:t>
      </w:r>
      <w:r w:rsidRPr="006077FA">
        <w:t>, 202</w:t>
      </w:r>
      <w:r w:rsidR="00205A5E" w:rsidRPr="006077FA">
        <w:t>5</w:t>
      </w:r>
      <w:r w:rsidRPr="006077FA">
        <w:t xml:space="preserve"> и 202</w:t>
      </w:r>
      <w:r w:rsidR="00205A5E" w:rsidRPr="006077FA">
        <w:t>6</w:t>
      </w:r>
      <w:r w:rsidRPr="006077FA">
        <w:t xml:space="preserve"> годах составляют соответственно </w:t>
      </w:r>
      <w:r w:rsidR="00205A5E" w:rsidRPr="006077FA">
        <w:t>97,6</w:t>
      </w:r>
      <w:r w:rsidRPr="006077FA">
        <w:t xml:space="preserve">%;  </w:t>
      </w:r>
      <w:r w:rsidR="00205A5E" w:rsidRPr="006077FA">
        <w:t>99,4</w:t>
      </w:r>
      <w:r w:rsidRPr="006077FA">
        <w:t xml:space="preserve">%;  </w:t>
      </w:r>
      <w:r w:rsidR="00205A5E" w:rsidRPr="006077FA">
        <w:t>99,4</w:t>
      </w:r>
      <w:r w:rsidRPr="006077FA">
        <w:t>%.</w:t>
      </w:r>
    </w:p>
    <w:p w:rsidR="00416516" w:rsidRPr="006077FA" w:rsidRDefault="00416516" w:rsidP="00416516">
      <w:pPr>
        <w:ind w:firstLine="708"/>
        <w:jc w:val="both"/>
      </w:pPr>
      <w:r w:rsidRPr="006077FA">
        <w:t>Анализ ведомственной структуры бюджета городского округа  показывает, что в 202</w:t>
      </w:r>
      <w:r w:rsidR="00205A5E" w:rsidRPr="006077FA">
        <w:t>4</w:t>
      </w:r>
      <w:r w:rsidRPr="006077FA">
        <w:t>-202</w:t>
      </w:r>
      <w:r w:rsidR="00205A5E" w:rsidRPr="006077FA">
        <w:t>6</w:t>
      </w:r>
      <w:r w:rsidRPr="006077FA">
        <w:t xml:space="preserve"> годах расходы бюджета городского округа будут ежегодно осуществлять </w:t>
      </w:r>
      <w:r w:rsidRPr="006077FA">
        <w:rPr>
          <w:color w:val="FF0000"/>
        </w:rPr>
        <w:t xml:space="preserve"> </w:t>
      </w:r>
      <w:r w:rsidR="00205A5E" w:rsidRPr="006077FA">
        <w:rPr>
          <w:color w:val="000000"/>
        </w:rPr>
        <w:t>восемь</w:t>
      </w:r>
      <w:r w:rsidRPr="006077FA">
        <w:rPr>
          <w:color w:val="000000"/>
        </w:rPr>
        <w:t xml:space="preserve"> </w:t>
      </w:r>
      <w:r w:rsidRPr="006077FA">
        <w:t>главных распорядителей бюджетных средств.</w:t>
      </w:r>
    </w:p>
    <w:p w:rsidR="00416516" w:rsidRPr="006077FA" w:rsidRDefault="00416516" w:rsidP="00416516">
      <w:pPr>
        <w:ind w:firstLine="709"/>
        <w:jc w:val="both"/>
      </w:pPr>
      <w:r w:rsidRPr="006077FA">
        <w:t xml:space="preserve">Пункт </w:t>
      </w:r>
      <w:r w:rsidR="00723DD5" w:rsidRPr="006077FA">
        <w:t>7</w:t>
      </w:r>
      <w:r w:rsidRPr="006077FA">
        <w:t xml:space="preserve"> проекта решения устанавливает общий объем бюджетных ассигнований, направленных на исполнение публичных нормативных обязательств на 202</w:t>
      </w:r>
      <w:r w:rsidR="00205A5E" w:rsidRPr="006077FA">
        <w:t>4</w:t>
      </w:r>
      <w:r w:rsidRPr="006077FA">
        <w:t xml:space="preserve"> год и плановый период 202</w:t>
      </w:r>
      <w:r w:rsidR="00205A5E" w:rsidRPr="006077FA">
        <w:t>5</w:t>
      </w:r>
      <w:r w:rsidRPr="006077FA">
        <w:t xml:space="preserve"> и 202</w:t>
      </w:r>
      <w:r w:rsidR="00205A5E" w:rsidRPr="006077FA">
        <w:t>6</w:t>
      </w:r>
      <w:r w:rsidRPr="006077FA">
        <w:t xml:space="preserve"> годов:</w:t>
      </w:r>
    </w:p>
    <w:p w:rsidR="00416516" w:rsidRPr="006077FA" w:rsidRDefault="00416516" w:rsidP="00416516">
      <w:pPr>
        <w:ind w:firstLine="709"/>
        <w:jc w:val="both"/>
      </w:pPr>
      <w:r w:rsidRPr="006077FA">
        <w:t>- на 202</w:t>
      </w:r>
      <w:r w:rsidR="00205A5E" w:rsidRPr="006077FA">
        <w:t>4</w:t>
      </w:r>
      <w:r w:rsidRPr="006077FA">
        <w:t xml:space="preserve"> год  - </w:t>
      </w:r>
      <w:r w:rsidR="00205A5E" w:rsidRPr="006077FA">
        <w:t>3 721,0</w:t>
      </w:r>
      <w:r w:rsidRPr="006077FA">
        <w:t xml:space="preserve"> тыс. руб.;</w:t>
      </w:r>
    </w:p>
    <w:p w:rsidR="00416516" w:rsidRPr="006077FA" w:rsidRDefault="00416516" w:rsidP="00416516">
      <w:pPr>
        <w:ind w:firstLine="709"/>
        <w:jc w:val="both"/>
      </w:pPr>
      <w:r w:rsidRPr="006077FA">
        <w:t>- на 202</w:t>
      </w:r>
      <w:r w:rsidR="00205A5E" w:rsidRPr="006077FA">
        <w:t>5</w:t>
      </w:r>
      <w:r w:rsidRPr="006077FA">
        <w:t xml:space="preserve"> год – 3 </w:t>
      </w:r>
      <w:r w:rsidR="00205A5E" w:rsidRPr="006077FA">
        <w:t>72</w:t>
      </w:r>
      <w:r w:rsidR="00723DD5" w:rsidRPr="006077FA">
        <w:t>1</w:t>
      </w:r>
      <w:r w:rsidRPr="006077FA">
        <w:t>,0 тыс. руб.;</w:t>
      </w:r>
    </w:p>
    <w:p w:rsidR="00416516" w:rsidRPr="006077FA" w:rsidRDefault="00416516" w:rsidP="00416516">
      <w:pPr>
        <w:ind w:firstLine="709"/>
        <w:jc w:val="both"/>
      </w:pPr>
      <w:r w:rsidRPr="006077FA">
        <w:t>- на 202</w:t>
      </w:r>
      <w:r w:rsidR="00205A5E" w:rsidRPr="006077FA">
        <w:t>6</w:t>
      </w:r>
      <w:r w:rsidRPr="006077FA">
        <w:t xml:space="preserve"> год – 3 </w:t>
      </w:r>
      <w:r w:rsidR="00205A5E" w:rsidRPr="006077FA">
        <w:t>72</w:t>
      </w:r>
      <w:r w:rsidR="00723DD5" w:rsidRPr="006077FA">
        <w:t>1</w:t>
      </w:r>
      <w:r w:rsidRPr="006077FA">
        <w:t>,0 тыс. руб.</w:t>
      </w:r>
    </w:p>
    <w:p w:rsidR="00416516" w:rsidRPr="006077FA" w:rsidRDefault="00416516" w:rsidP="00416516">
      <w:pPr>
        <w:spacing w:line="20" w:lineRule="atLeast"/>
        <w:ind w:firstLine="709"/>
        <w:contextualSpacing/>
        <w:jc w:val="both"/>
      </w:pPr>
      <w:r w:rsidRPr="006077FA">
        <w:t>Резервный фонд согласно пункту 1</w:t>
      </w:r>
      <w:r w:rsidR="00723DD5" w:rsidRPr="006077FA">
        <w:t>1</w:t>
      </w:r>
      <w:r w:rsidRPr="006077FA">
        <w:t xml:space="preserve">  проекта решения, составил:</w:t>
      </w:r>
    </w:p>
    <w:p w:rsidR="00416516" w:rsidRPr="006077FA" w:rsidRDefault="00416516" w:rsidP="00416516">
      <w:pPr>
        <w:spacing w:line="20" w:lineRule="atLeast"/>
        <w:ind w:firstLine="709"/>
        <w:contextualSpacing/>
        <w:jc w:val="both"/>
      </w:pPr>
      <w:r w:rsidRPr="006077FA">
        <w:t>- на 202</w:t>
      </w:r>
      <w:r w:rsidR="00205A5E" w:rsidRPr="006077FA">
        <w:t>4</w:t>
      </w:r>
      <w:r w:rsidRPr="006077FA">
        <w:t xml:space="preserve"> год в сумме 3 000,0 тыс. руб. или 0,1% от общего объема расходов;</w:t>
      </w:r>
    </w:p>
    <w:p w:rsidR="00416516" w:rsidRPr="006077FA" w:rsidRDefault="00416516" w:rsidP="00416516">
      <w:pPr>
        <w:spacing w:line="20" w:lineRule="atLeast"/>
        <w:ind w:firstLine="709"/>
        <w:contextualSpacing/>
        <w:jc w:val="both"/>
      </w:pPr>
      <w:r w:rsidRPr="006077FA">
        <w:t>- на 202</w:t>
      </w:r>
      <w:r w:rsidR="00205A5E" w:rsidRPr="006077FA">
        <w:t>5</w:t>
      </w:r>
      <w:r w:rsidRPr="006077FA">
        <w:t>год в сумме 3 000,0,0 тыс. руб. или 0,</w:t>
      </w:r>
      <w:r w:rsidR="00205A5E" w:rsidRPr="006077FA">
        <w:t>2</w:t>
      </w:r>
      <w:r w:rsidRPr="006077FA">
        <w:t>% от общего объема расходов;</w:t>
      </w:r>
    </w:p>
    <w:p w:rsidR="00416516" w:rsidRPr="006077FA" w:rsidRDefault="00416516" w:rsidP="00416516">
      <w:pPr>
        <w:spacing w:line="20" w:lineRule="atLeast"/>
        <w:ind w:firstLine="709"/>
        <w:contextualSpacing/>
        <w:jc w:val="both"/>
      </w:pPr>
      <w:r w:rsidRPr="006077FA">
        <w:t>- на 202</w:t>
      </w:r>
      <w:r w:rsidR="00205A5E" w:rsidRPr="006077FA">
        <w:t>6</w:t>
      </w:r>
      <w:r w:rsidRPr="006077FA">
        <w:t xml:space="preserve"> год в сумме 3 000,0 тыс. руб. или 0,2% от общего объема расходов.</w:t>
      </w:r>
    </w:p>
    <w:p w:rsidR="00416516" w:rsidRPr="006077FA" w:rsidRDefault="00416516" w:rsidP="00416516">
      <w:pPr>
        <w:spacing w:line="20" w:lineRule="atLeast"/>
        <w:ind w:firstLine="709"/>
        <w:contextualSpacing/>
        <w:jc w:val="both"/>
      </w:pPr>
      <w:r w:rsidRPr="006077FA">
        <w:t>Размер резервного фонд Администрации городского округа Кинешма на 202</w:t>
      </w:r>
      <w:r w:rsidR="00205A5E" w:rsidRPr="006077FA">
        <w:t>4</w:t>
      </w:r>
      <w:r w:rsidRPr="006077FA">
        <w:t xml:space="preserve"> год  и плановый период 202</w:t>
      </w:r>
      <w:r w:rsidR="00205A5E" w:rsidRPr="006077FA">
        <w:t>5</w:t>
      </w:r>
      <w:r w:rsidRPr="006077FA">
        <w:t xml:space="preserve"> и 202</w:t>
      </w:r>
      <w:r w:rsidR="00205A5E" w:rsidRPr="006077FA">
        <w:t>6</w:t>
      </w:r>
      <w:r w:rsidRPr="006077FA">
        <w:t xml:space="preserve"> годов  соответствует </w:t>
      </w:r>
      <w:r w:rsidR="00723DD5" w:rsidRPr="006077FA">
        <w:t xml:space="preserve">ч.3 </w:t>
      </w:r>
      <w:r w:rsidRPr="006077FA">
        <w:t>ст. 81 БК РФ и Порядка использования бюджетных ассигнований резервного фонда Администрации и городского округа Кинешма не превышает 3 процента общего объема расходов.</w:t>
      </w:r>
    </w:p>
    <w:p w:rsidR="00416516" w:rsidRPr="006077FA" w:rsidRDefault="00416516" w:rsidP="00416516">
      <w:pPr>
        <w:spacing w:line="20" w:lineRule="atLeast"/>
        <w:ind w:firstLine="709"/>
        <w:contextualSpacing/>
        <w:jc w:val="both"/>
      </w:pPr>
      <w:r w:rsidRPr="006077FA">
        <w:t>Пункт 1</w:t>
      </w:r>
      <w:r w:rsidR="00723DD5" w:rsidRPr="006077FA">
        <w:t>2</w:t>
      </w:r>
      <w:r w:rsidRPr="006077FA">
        <w:t xml:space="preserve"> проекта решения утверждает объем бюджетных ассигнований  муниципального дорожного фонда   в сумме:</w:t>
      </w:r>
    </w:p>
    <w:p w:rsidR="00416516" w:rsidRPr="006077FA" w:rsidRDefault="00416516" w:rsidP="00416516">
      <w:pPr>
        <w:spacing w:line="20" w:lineRule="atLeast"/>
        <w:ind w:firstLine="709"/>
        <w:contextualSpacing/>
        <w:jc w:val="both"/>
      </w:pPr>
      <w:r w:rsidRPr="006077FA">
        <w:t>- на 202</w:t>
      </w:r>
      <w:r w:rsidR="00205A5E" w:rsidRPr="006077FA">
        <w:t>4</w:t>
      </w:r>
      <w:r w:rsidRPr="006077FA">
        <w:t xml:space="preserve"> год в сумме </w:t>
      </w:r>
      <w:r w:rsidR="00723DD5" w:rsidRPr="006077FA">
        <w:t>2</w:t>
      </w:r>
      <w:r w:rsidR="00205A5E" w:rsidRPr="006077FA">
        <w:t>15 699,</w:t>
      </w:r>
      <w:r w:rsidR="00723DD5" w:rsidRPr="006077FA">
        <w:t>7</w:t>
      </w:r>
      <w:r w:rsidR="00205A5E" w:rsidRPr="006077FA">
        <w:t>3</w:t>
      </w:r>
      <w:r w:rsidRPr="006077FA">
        <w:t xml:space="preserve"> тыс. руб.;</w:t>
      </w:r>
    </w:p>
    <w:p w:rsidR="00416516" w:rsidRPr="006077FA" w:rsidRDefault="00416516" w:rsidP="00416516">
      <w:pPr>
        <w:spacing w:line="20" w:lineRule="atLeast"/>
        <w:ind w:firstLine="709"/>
        <w:contextualSpacing/>
        <w:jc w:val="both"/>
      </w:pPr>
      <w:r w:rsidRPr="006077FA">
        <w:t>- на 202</w:t>
      </w:r>
      <w:r w:rsidR="00205A5E" w:rsidRPr="006077FA">
        <w:t>5</w:t>
      </w:r>
      <w:r w:rsidRPr="006077FA">
        <w:t xml:space="preserve"> год в сумме </w:t>
      </w:r>
      <w:r w:rsidR="00205A5E" w:rsidRPr="006077FA">
        <w:t>140 814,85</w:t>
      </w:r>
      <w:r w:rsidRPr="006077FA">
        <w:t xml:space="preserve"> тыс. руб.;</w:t>
      </w:r>
    </w:p>
    <w:p w:rsidR="00416516" w:rsidRPr="006077FA" w:rsidRDefault="00416516" w:rsidP="00416516">
      <w:pPr>
        <w:spacing w:line="20" w:lineRule="atLeast"/>
        <w:ind w:firstLine="709"/>
        <w:contextualSpacing/>
        <w:jc w:val="both"/>
      </w:pPr>
      <w:r w:rsidRPr="006077FA">
        <w:t>- на 202</w:t>
      </w:r>
      <w:r w:rsidR="00205A5E" w:rsidRPr="006077FA">
        <w:t>6</w:t>
      </w:r>
      <w:r w:rsidR="009D5101" w:rsidRPr="006077FA">
        <w:t xml:space="preserve"> </w:t>
      </w:r>
      <w:r w:rsidRPr="006077FA">
        <w:t xml:space="preserve">год в сумме </w:t>
      </w:r>
      <w:r w:rsidR="00205A5E" w:rsidRPr="006077FA">
        <w:t>141 816,64</w:t>
      </w:r>
      <w:r w:rsidRPr="006077FA">
        <w:t xml:space="preserve">  тыс. руб.</w:t>
      </w:r>
    </w:p>
    <w:p w:rsidR="00416516" w:rsidRPr="006077FA" w:rsidRDefault="00416516" w:rsidP="00416516">
      <w:pPr>
        <w:spacing w:line="20" w:lineRule="atLeast"/>
        <w:ind w:firstLine="709"/>
        <w:contextualSpacing/>
        <w:jc w:val="both"/>
      </w:pPr>
      <w:r w:rsidRPr="006077FA">
        <w:lastRenderedPageBreak/>
        <w:t>Порядок формирования и использования бюджетных ассигнований муниципального дорожного фонда городского округа Кинешма,  установлен решением городской Думы городского округа Кинешма пятого созыва от 25.09.2013г. №56/574 «О создании муниципального дорожного фонда городского округа Кинешма».</w:t>
      </w:r>
    </w:p>
    <w:p w:rsidR="009D5101" w:rsidRPr="006077FA" w:rsidRDefault="00416516" w:rsidP="00416516">
      <w:pPr>
        <w:ind w:firstLine="708"/>
        <w:jc w:val="both"/>
      </w:pPr>
      <w:r w:rsidRPr="006077FA">
        <w:t>Бюджетные ассигнования на  выполнения Реестра наказов избирателей депутатам городской Думы городского округа Кинешма  на 202</w:t>
      </w:r>
      <w:r w:rsidR="006077FA" w:rsidRPr="006077FA">
        <w:t>4</w:t>
      </w:r>
      <w:r w:rsidRPr="006077FA">
        <w:t xml:space="preserve"> год  предусмотрены в проекте бюджета  в рамках   муниципальных программ </w:t>
      </w:r>
      <w:r w:rsidR="009D5101" w:rsidRPr="006077FA">
        <w:t xml:space="preserve"> городского округа Кинешма в общей сумме</w:t>
      </w:r>
      <w:r w:rsidRPr="006077FA">
        <w:t xml:space="preserve">  20</w:t>
      </w:r>
      <w:r w:rsidR="009D5101" w:rsidRPr="006077FA">
        <w:t xml:space="preserve"> 00</w:t>
      </w:r>
      <w:r w:rsidRPr="006077FA">
        <w:t>0,0 тыс. руб.</w:t>
      </w:r>
      <w:r w:rsidR="009D5101" w:rsidRPr="006077FA">
        <w:t xml:space="preserve"> </w:t>
      </w:r>
    </w:p>
    <w:p w:rsidR="00416516" w:rsidRPr="00BB4EC3" w:rsidRDefault="00416516" w:rsidP="005304BF">
      <w:pPr>
        <w:spacing w:line="20" w:lineRule="atLeast"/>
        <w:ind w:firstLine="708"/>
        <w:jc w:val="both"/>
      </w:pPr>
      <w:r w:rsidRPr="006077FA">
        <w:t>Дефицит</w:t>
      </w:r>
      <w:r w:rsidR="005304BF" w:rsidRPr="006077FA">
        <w:t>,</w:t>
      </w:r>
      <w:r w:rsidRPr="006077FA">
        <w:t xml:space="preserve"> состав источников  внутреннего финансирования дефицита бюджета городского округа Кинешма</w:t>
      </w:r>
      <w:r w:rsidR="005304BF" w:rsidRPr="006077FA">
        <w:t>, в</w:t>
      </w:r>
      <w:r w:rsidRPr="006077FA">
        <w:t>ерхний предел муниципального долга  городского округа Кинешма</w:t>
      </w:r>
      <w:r w:rsidR="005304BF" w:rsidRPr="006077FA">
        <w:t>,</w:t>
      </w:r>
      <w:r w:rsidRPr="006077FA">
        <w:t xml:space="preserve"> </w:t>
      </w:r>
      <w:r w:rsidR="005304BF" w:rsidRPr="006077FA">
        <w:t>о</w:t>
      </w:r>
      <w:r w:rsidRPr="006077FA">
        <w:t>бъём расходов на обслуживание муниципального долга городского округа Кинешма</w:t>
      </w:r>
      <w:r w:rsidR="005304BF" w:rsidRPr="006077FA">
        <w:t>,</w:t>
      </w:r>
      <w:r w:rsidRPr="006077FA">
        <w:t xml:space="preserve">  </w:t>
      </w:r>
      <w:r w:rsidR="005304BF" w:rsidRPr="006077FA">
        <w:t xml:space="preserve">предельный объем заимствований </w:t>
      </w:r>
      <w:r w:rsidRPr="006077FA">
        <w:t>соответствует нормам Бюджетного кодекса РФ</w:t>
      </w:r>
      <w:r w:rsidR="005304BF" w:rsidRPr="006077FA">
        <w:t>.</w:t>
      </w:r>
    </w:p>
    <w:p w:rsidR="00416516" w:rsidRPr="00BB4EC3" w:rsidRDefault="00416516" w:rsidP="00416516">
      <w:pPr>
        <w:ind w:firstLine="708"/>
        <w:jc w:val="both"/>
      </w:pPr>
      <w:r w:rsidRPr="00BB4EC3">
        <w:t>Проект бюджета городского округа Кинешма на 202</w:t>
      </w:r>
      <w:r w:rsidR="006077FA">
        <w:t>4</w:t>
      </w:r>
      <w:r w:rsidRPr="00BB4EC3">
        <w:t xml:space="preserve"> год и плановый период 202</w:t>
      </w:r>
      <w:r w:rsidR="006077FA">
        <w:t>5</w:t>
      </w:r>
      <w:r w:rsidRPr="00BB4EC3">
        <w:t xml:space="preserve"> и 202</w:t>
      </w:r>
      <w:r w:rsidR="006077FA">
        <w:t>6</w:t>
      </w:r>
      <w:r w:rsidRPr="00BB4EC3">
        <w:t xml:space="preserve"> годов в целом соответствует бюджетному законодательству и основным направлениям налоговой и бюджетной политики городского округа Кинешма.</w:t>
      </w:r>
    </w:p>
    <w:p w:rsidR="00AC0F3A" w:rsidRPr="006077FA" w:rsidRDefault="00AC0F3A" w:rsidP="00AC0F3A">
      <w:pPr>
        <w:pStyle w:val="Default"/>
        <w:ind w:firstLine="709"/>
        <w:jc w:val="both"/>
      </w:pPr>
      <w:r w:rsidRPr="006077FA">
        <w:t xml:space="preserve">Заключение </w:t>
      </w:r>
      <w:r w:rsidRPr="006077FA">
        <w:rPr>
          <w:bCs/>
          <w:color w:val="auto"/>
        </w:rPr>
        <w:t xml:space="preserve">контрольно - счетной </w:t>
      </w:r>
      <w:r w:rsidRPr="006077FA">
        <w:rPr>
          <w:color w:val="auto"/>
        </w:rPr>
        <w:t>комиссии  городского  округа  Кинешма на  проект  решения    городской  Думы</w:t>
      </w:r>
      <w:r w:rsidRPr="006077FA">
        <w:rPr>
          <w:bCs/>
          <w:color w:val="auto"/>
        </w:rPr>
        <w:t xml:space="preserve"> </w:t>
      </w:r>
      <w:r w:rsidRPr="006077FA">
        <w:t>городского округа Кинешма «О бюджете городского округа Кинешма на 2024 год и плановый период 2025 и 2026 годов», утверждено решением Коллегии контрольно-счетной комиссии городского округа Кинешма  от №8 от 20.11.2023 г.</w:t>
      </w:r>
    </w:p>
    <w:p w:rsidR="00416516" w:rsidRPr="00416516" w:rsidRDefault="00416516" w:rsidP="00416516">
      <w:pPr>
        <w:jc w:val="both"/>
      </w:pPr>
    </w:p>
    <w:sectPr w:rsidR="00416516" w:rsidRPr="00416516" w:rsidSect="00E83F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05E1" w:rsidRDefault="00AA05E1">
      <w:r>
        <w:separator/>
      </w:r>
    </w:p>
  </w:endnote>
  <w:endnote w:type="continuationSeparator" w:id="1">
    <w:p w:rsidR="00AA05E1" w:rsidRDefault="00AA05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05E1" w:rsidRDefault="00AA05E1">
      <w:r>
        <w:separator/>
      </w:r>
    </w:p>
  </w:footnote>
  <w:footnote w:type="continuationSeparator" w:id="1">
    <w:p w:rsidR="00AA05E1" w:rsidRDefault="00AA05E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83FA2"/>
    <w:rsid w:val="00071301"/>
    <w:rsid w:val="00077C50"/>
    <w:rsid w:val="000F52EC"/>
    <w:rsid w:val="00147329"/>
    <w:rsid w:val="00147B70"/>
    <w:rsid w:val="0019273F"/>
    <w:rsid w:val="00205A5E"/>
    <w:rsid w:val="00360ACD"/>
    <w:rsid w:val="003C0FFA"/>
    <w:rsid w:val="003C290E"/>
    <w:rsid w:val="003D1CF6"/>
    <w:rsid w:val="00416516"/>
    <w:rsid w:val="00474A0B"/>
    <w:rsid w:val="005304BF"/>
    <w:rsid w:val="005A33CE"/>
    <w:rsid w:val="005F7BDE"/>
    <w:rsid w:val="00604058"/>
    <w:rsid w:val="006077FA"/>
    <w:rsid w:val="0070540F"/>
    <w:rsid w:val="00705AAC"/>
    <w:rsid w:val="00723DD5"/>
    <w:rsid w:val="00734D54"/>
    <w:rsid w:val="00906BB6"/>
    <w:rsid w:val="00925AEB"/>
    <w:rsid w:val="00952FA5"/>
    <w:rsid w:val="00957B15"/>
    <w:rsid w:val="00991E25"/>
    <w:rsid w:val="009D5101"/>
    <w:rsid w:val="00A530F0"/>
    <w:rsid w:val="00AA05E1"/>
    <w:rsid w:val="00AB5CAE"/>
    <w:rsid w:val="00AC0F3A"/>
    <w:rsid w:val="00AD1AC3"/>
    <w:rsid w:val="00B17DCE"/>
    <w:rsid w:val="00B45E7B"/>
    <w:rsid w:val="00B62426"/>
    <w:rsid w:val="00BB4EC3"/>
    <w:rsid w:val="00BF6FC7"/>
    <w:rsid w:val="00C06534"/>
    <w:rsid w:val="00C250AB"/>
    <w:rsid w:val="00CC4575"/>
    <w:rsid w:val="00CE13C2"/>
    <w:rsid w:val="00D21AA5"/>
    <w:rsid w:val="00D559D9"/>
    <w:rsid w:val="00D66A04"/>
    <w:rsid w:val="00DE007F"/>
    <w:rsid w:val="00DE30C1"/>
    <w:rsid w:val="00E55A87"/>
    <w:rsid w:val="00E83FA2"/>
    <w:rsid w:val="00EA4345"/>
    <w:rsid w:val="00F7579A"/>
    <w:rsid w:val="00F85295"/>
    <w:rsid w:val="00FB41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3FA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Heading1Char"/>
    <w:uiPriority w:val="9"/>
    <w:qFormat/>
    <w:rsid w:val="00E83FA2"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character" w:customStyle="1" w:styleId="Heading1Char">
    <w:name w:val="Heading 1 Char"/>
    <w:basedOn w:val="a0"/>
    <w:link w:val="Heading1"/>
    <w:uiPriority w:val="9"/>
    <w:rsid w:val="00E83FA2"/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Heading2Char"/>
    <w:uiPriority w:val="9"/>
    <w:unhideWhenUsed/>
    <w:qFormat/>
    <w:rsid w:val="00E83FA2"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character" w:customStyle="1" w:styleId="Heading2Char">
    <w:name w:val="Heading 2 Char"/>
    <w:basedOn w:val="a0"/>
    <w:link w:val="Heading2"/>
    <w:uiPriority w:val="9"/>
    <w:rsid w:val="00E83FA2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E83FA2"/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Heading4Char"/>
    <w:uiPriority w:val="9"/>
    <w:unhideWhenUsed/>
    <w:qFormat/>
    <w:rsid w:val="00E83FA2"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character" w:customStyle="1" w:styleId="Heading4Char">
    <w:name w:val="Heading 4 Char"/>
    <w:basedOn w:val="a0"/>
    <w:link w:val="Heading4"/>
    <w:uiPriority w:val="9"/>
    <w:rsid w:val="00E83FA2"/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Heading5Char"/>
    <w:uiPriority w:val="9"/>
    <w:unhideWhenUsed/>
    <w:qFormat/>
    <w:rsid w:val="00E83FA2"/>
    <w:pPr>
      <w:keepNext/>
      <w:keepLines/>
      <w:spacing w:before="320" w:after="200"/>
      <w:outlineLvl w:val="4"/>
    </w:pPr>
    <w:rPr>
      <w:rFonts w:ascii="Arial" w:eastAsia="Arial" w:hAnsi="Arial" w:cs="Arial"/>
      <w:b/>
      <w:bCs/>
    </w:rPr>
  </w:style>
  <w:style w:type="character" w:customStyle="1" w:styleId="Heading5Char">
    <w:name w:val="Heading 5 Char"/>
    <w:basedOn w:val="a0"/>
    <w:link w:val="Heading5"/>
    <w:uiPriority w:val="9"/>
    <w:rsid w:val="00E83FA2"/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Heading6Char"/>
    <w:uiPriority w:val="9"/>
    <w:unhideWhenUsed/>
    <w:qFormat/>
    <w:rsid w:val="00E83FA2"/>
    <w:pPr>
      <w:keepNext/>
      <w:keepLines/>
      <w:spacing w:before="320" w:after="200"/>
      <w:outlineLvl w:val="5"/>
    </w:pPr>
    <w:rPr>
      <w:rFonts w:ascii="Arial" w:eastAsia="Arial" w:hAnsi="Arial" w:cs="Arial"/>
      <w:b/>
      <w:bCs/>
      <w:sz w:val="22"/>
      <w:szCs w:val="22"/>
    </w:rPr>
  </w:style>
  <w:style w:type="character" w:customStyle="1" w:styleId="Heading6Char">
    <w:name w:val="Heading 6 Char"/>
    <w:basedOn w:val="a0"/>
    <w:link w:val="Heading6"/>
    <w:uiPriority w:val="9"/>
    <w:rsid w:val="00E83FA2"/>
    <w:rPr>
      <w:rFonts w:ascii="Arial" w:eastAsia="Arial" w:hAnsi="Arial" w:cs="Arial"/>
      <w:b/>
      <w:bCs/>
      <w:sz w:val="22"/>
      <w:szCs w:val="22"/>
    </w:rPr>
  </w:style>
  <w:style w:type="paragraph" w:customStyle="1" w:styleId="Heading7">
    <w:name w:val="Heading 7"/>
    <w:basedOn w:val="a"/>
    <w:next w:val="a"/>
    <w:link w:val="Heading7Char"/>
    <w:uiPriority w:val="9"/>
    <w:unhideWhenUsed/>
    <w:qFormat/>
    <w:rsid w:val="00E83FA2"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7Char">
    <w:name w:val="Heading 7 Char"/>
    <w:basedOn w:val="a0"/>
    <w:link w:val="Heading7"/>
    <w:uiPriority w:val="9"/>
    <w:rsid w:val="00E83FA2"/>
    <w:rPr>
      <w:rFonts w:ascii="Arial" w:eastAsia="Arial" w:hAnsi="Arial" w:cs="Arial"/>
      <w:b/>
      <w:bCs/>
      <w:i/>
      <w:iCs/>
      <w:sz w:val="22"/>
      <w:szCs w:val="22"/>
    </w:rPr>
  </w:style>
  <w:style w:type="paragraph" w:customStyle="1" w:styleId="Heading8">
    <w:name w:val="Heading 8"/>
    <w:basedOn w:val="a"/>
    <w:next w:val="a"/>
    <w:link w:val="Heading8Char"/>
    <w:uiPriority w:val="9"/>
    <w:unhideWhenUsed/>
    <w:qFormat/>
    <w:rsid w:val="00E83FA2"/>
    <w:pPr>
      <w:keepNext/>
      <w:keepLines/>
      <w:spacing w:before="320" w:after="200"/>
      <w:outlineLvl w:val="7"/>
    </w:pPr>
    <w:rPr>
      <w:rFonts w:ascii="Arial" w:eastAsia="Arial" w:hAnsi="Arial" w:cs="Arial"/>
      <w:i/>
      <w:iCs/>
      <w:sz w:val="22"/>
      <w:szCs w:val="22"/>
    </w:rPr>
  </w:style>
  <w:style w:type="character" w:customStyle="1" w:styleId="Heading8Char">
    <w:name w:val="Heading 8 Char"/>
    <w:basedOn w:val="a0"/>
    <w:link w:val="Heading8"/>
    <w:uiPriority w:val="9"/>
    <w:rsid w:val="00E83FA2"/>
    <w:rPr>
      <w:rFonts w:ascii="Arial" w:eastAsia="Arial" w:hAnsi="Arial" w:cs="Arial"/>
      <w:i/>
      <w:iCs/>
      <w:sz w:val="22"/>
      <w:szCs w:val="22"/>
    </w:rPr>
  </w:style>
  <w:style w:type="paragraph" w:customStyle="1" w:styleId="Heading9">
    <w:name w:val="Heading 9"/>
    <w:basedOn w:val="a"/>
    <w:next w:val="a"/>
    <w:link w:val="Heading9Char"/>
    <w:uiPriority w:val="9"/>
    <w:unhideWhenUsed/>
    <w:qFormat/>
    <w:rsid w:val="00E83FA2"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Heading9Char">
    <w:name w:val="Heading 9 Char"/>
    <w:basedOn w:val="a0"/>
    <w:link w:val="Heading9"/>
    <w:uiPriority w:val="9"/>
    <w:rsid w:val="00E83FA2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rsid w:val="00E83FA2"/>
    <w:pPr>
      <w:ind w:left="720"/>
      <w:contextualSpacing/>
    </w:pPr>
  </w:style>
  <w:style w:type="paragraph" w:styleId="a4">
    <w:name w:val="Title"/>
    <w:basedOn w:val="a"/>
    <w:next w:val="a"/>
    <w:link w:val="a5"/>
    <w:uiPriority w:val="10"/>
    <w:qFormat/>
    <w:rsid w:val="00E83FA2"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sid w:val="00E83FA2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rsid w:val="00E83FA2"/>
    <w:pPr>
      <w:spacing w:before="200" w:after="200"/>
    </w:pPr>
  </w:style>
  <w:style w:type="character" w:customStyle="1" w:styleId="a7">
    <w:name w:val="Подзаголовок Знак"/>
    <w:basedOn w:val="a0"/>
    <w:link w:val="a6"/>
    <w:uiPriority w:val="11"/>
    <w:rsid w:val="00E83FA2"/>
    <w:rPr>
      <w:sz w:val="24"/>
      <w:szCs w:val="24"/>
    </w:rPr>
  </w:style>
  <w:style w:type="paragraph" w:styleId="2">
    <w:name w:val="Quote"/>
    <w:basedOn w:val="a"/>
    <w:next w:val="a"/>
    <w:link w:val="20"/>
    <w:uiPriority w:val="29"/>
    <w:qFormat/>
    <w:rsid w:val="00E83FA2"/>
    <w:pPr>
      <w:ind w:left="720" w:right="720"/>
    </w:pPr>
    <w:rPr>
      <w:i/>
    </w:rPr>
  </w:style>
  <w:style w:type="character" w:customStyle="1" w:styleId="20">
    <w:name w:val="Цитата 2 Знак"/>
    <w:link w:val="2"/>
    <w:uiPriority w:val="29"/>
    <w:rsid w:val="00E83FA2"/>
    <w:rPr>
      <w:i/>
    </w:rPr>
  </w:style>
  <w:style w:type="paragraph" w:styleId="a8">
    <w:name w:val="Intense Quote"/>
    <w:basedOn w:val="a"/>
    <w:next w:val="a"/>
    <w:link w:val="a9"/>
    <w:uiPriority w:val="30"/>
    <w:qFormat/>
    <w:rsid w:val="00E83FA2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sid w:val="00E83FA2"/>
    <w:rPr>
      <w:i/>
    </w:rPr>
  </w:style>
  <w:style w:type="paragraph" w:customStyle="1" w:styleId="Header">
    <w:name w:val="Header"/>
    <w:basedOn w:val="a"/>
    <w:link w:val="HeaderChar"/>
    <w:uiPriority w:val="99"/>
    <w:unhideWhenUsed/>
    <w:rsid w:val="00E83FA2"/>
    <w:pPr>
      <w:tabs>
        <w:tab w:val="center" w:pos="7143"/>
        <w:tab w:val="right" w:pos="14287"/>
      </w:tabs>
    </w:pPr>
  </w:style>
  <w:style w:type="character" w:customStyle="1" w:styleId="HeaderChar">
    <w:name w:val="Header Char"/>
    <w:basedOn w:val="a0"/>
    <w:link w:val="Header"/>
    <w:uiPriority w:val="99"/>
    <w:rsid w:val="00E83FA2"/>
  </w:style>
  <w:style w:type="paragraph" w:customStyle="1" w:styleId="Footer">
    <w:name w:val="Footer"/>
    <w:basedOn w:val="a"/>
    <w:link w:val="CaptionChar"/>
    <w:uiPriority w:val="99"/>
    <w:unhideWhenUsed/>
    <w:rsid w:val="00E83FA2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a0"/>
    <w:link w:val="Footer"/>
    <w:uiPriority w:val="99"/>
    <w:rsid w:val="00E83FA2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E83FA2"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link w:val="Footer"/>
    <w:uiPriority w:val="99"/>
    <w:rsid w:val="00E83FA2"/>
  </w:style>
  <w:style w:type="table" w:styleId="aa">
    <w:name w:val="Table Grid"/>
    <w:basedOn w:val="a1"/>
    <w:uiPriority w:val="59"/>
    <w:rsid w:val="00E83FA2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E83FA2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E83FA2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auto"/>
      </w:tcPr>
    </w:tblStylePr>
    <w:tblStylePr w:type="band1Horz">
      <w:tblPr/>
      <w:tcPr>
        <w:shd w:val="clear" w:color="F2F2F2" w:themeColor="text1" w:themeTint="D" w:fill="auto"/>
      </w:tcPr>
    </w:tblStylePr>
  </w:style>
  <w:style w:type="table" w:customStyle="1" w:styleId="PlainTable2">
    <w:name w:val="Plain Table 2"/>
    <w:basedOn w:val="a1"/>
    <w:uiPriority w:val="59"/>
    <w:rsid w:val="00E83F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PlainTable4">
    <w:name w:val="Plain Table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PlainTable5">
    <w:name w:val="Plain Table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GridTable1Light">
    <w:name w:val="Grid Table 1 Light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2-Accent1">
    <w:name w:val="Grid Table 2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</w:style>
  <w:style w:type="table" w:customStyle="1" w:styleId="GridTable2-Accent2">
    <w:name w:val="Grid Table 2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2-Accent3">
    <w:name w:val="Grid Table 2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2-Accent4">
    <w:name w:val="Grid Table 2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2-Accent5">
    <w:name w:val="Grid Table 2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2-Accent6">
    <w:name w:val="Grid Table 2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GridTable3">
    <w:name w:val="Grid Table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3-Accent1">
    <w:name w:val="Grid Table 3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auto"/>
      </w:tcPr>
    </w:tblStylePr>
  </w:style>
  <w:style w:type="table" w:customStyle="1" w:styleId="GridTable3-Accent2">
    <w:name w:val="Grid Table 3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3-Accent3">
    <w:name w:val="Grid Table 3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3-Accent4">
    <w:name w:val="Grid Table 3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3-Accent5">
    <w:name w:val="Grid Table 3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3-Accent6">
    <w:name w:val="Grid Table 3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GridTable4">
    <w:name w:val="Grid Table 4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auto"/>
      </w:tcPr>
    </w:tblStylePr>
  </w:style>
  <w:style w:type="table" w:customStyle="1" w:styleId="GridTable4-Accent1">
    <w:name w:val="Grid Table 4 - Accent 1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auto"/>
      </w:tcPr>
    </w:tblStylePr>
  </w:style>
  <w:style w:type="table" w:customStyle="1" w:styleId="GridTable4-Accent2">
    <w:name w:val="Grid Table 4 - Accent 2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GridTable4-Accent3">
    <w:name w:val="Grid Table 4 - Accent 3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GridTable4-Accent4">
    <w:name w:val="Grid Table 4 - Accent 4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GridTable4-Accent5">
    <w:name w:val="Grid Table 4 - Accent 5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GridTable4-Accent6">
    <w:name w:val="Grid Table 4 - Accent 6"/>
    <w:basedOn w:val="a1"/>
    <w:uiPriority w:val="5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GridTable5Dark">
    <w:name w:val="Grid Table 5 Dark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band1Vert">
      <w:tblPr/>
      <w:tcPr>
        <w:shd w:val="clear" w:color="8A8A8A" w:themeColor="text1" w:themeTint="75" w:fill="auto"/>
      </w:tcPr>
    </w:tblStylePr>
    <w:tblStylePr w:type="band1Horz">
      <w:tblPr/>
      <w:tcPr>
        <w:shd w:val="clear" w:color="8A8A8A" w:themeColor="text1" w:themeTint="75" w:fill="auto"/>
      </w:tcPr>
    </w:tblStylePr>
  </w:style>
  <w:style w:type="table" w:customStyle="1" w:styleId="GridTable5Dark-Accent1">
    <w:name w:val="Grid Table 5 Dark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band1Vert">
      <w:tblPr/>
      <w:tcPr>
        <w:shd w:val="clear" w:color="AEC4E0" w:themeColor="accent1" w:themeTint="75" w:fill="auto"/>
      </w:tcPr>
    </w:tblStylePr>
    <w:tblStylePr w:type="band1Horz">
      <w:tblPr/>
      <w:tcPr>
        <w:shd w:val="clear" w:color="AEC4E0" w:themeColor="accent1" w:themeTint="75" w:fill="auto"/>
      </w:tcPr>
    </w:tblStylePr>
  </w:style>
  <w:style w:type="table" w:customStyle="1" w:styleId="GridTable5Dark-Accent2">
    <w:name w:val="Grid Table 5 Dark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band1Vert">
      <w:tblPr/>
      <w:tcPr>
        <w:shd w:val="clear" w:color="E2AEAD" w:themeColor="accent2" w:themeTint="75" w:fill="auto"/>
      </w:tcPr>
    </w:tblStylePr>
    <w:tblStylePr w:type="band1Horz">
      <w:tblPr/>
      <w:tcPr>
        <w:shd w:val="clear" w:color="E2AEAD" w:themeColor="accent2" w:themeTint="75" w:fill="auto"/>
      </w:tcPr>
    </w:tblStylePr>
  </w:style>
  <w:style w:type="table" w:customStyle="1" w:styleId="GridTable5Dark-Accent3">
    <w:name w:val="Grid Table 5 Dark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band1Vert">
      <w:tblPr/>
      <w:tcPr>
        <w:shd w:val="clear" w:color="D0DFB2" w:themeColor="accent3" w:themeTint="75" w:fill="auto"/>
      </w:tcPr>
    </w:tblStylePr>
    <w:tblStylePr w:type="band1Horz">
      <w:tblPr/>
      <w:tcPr>
        <w:shd w:val="clear" w:color="D0DFB2" w:themeColor="accent3" w:themeTint="75" w:fill="auto"/>
      </w:tcPr>
    </w:tblStylePr>
  </w:style>
  <w:style w:type="table" w:customStyle="1" w:styleId="GridTable5Dark-Accent4">
    <w:name w:val="Grid Table 5 Dark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band1Vert">
      <w:tblPr/>
      <w:tcPr>
        <w:shd w:val="clear" w:color="C4B7D4" w:themeColor="accent4" w:themeTint="75" w:fill="auto"/>
      </w:tcPr>
    </w:tblStylePr>
    <w:tblStylePr w:type="band1Horz">
      <w:tblPr/>
      <w:tcPr>
        <w:shd w:val="clear" w:color="C4B7D4" w:themeColor="accent4" w:themeTint="75" w:fill="auto"/>
      </w:tcPr>
    </w:tblStylePr>
  </w:style>
  <w:style w:type="table" w:customStyle="1" w:styleId="GridTable5Dark-Accent5">
    <w:name w:val="Grid Table 5 Dark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band1Vert">
      <w:tblPr/>
      <w:tcPr>
        <w:shd w:val="clear" w:color="ACD8E4" w:themeColor="accent5" w:themeTint="75" w:fill="auto"/>
      </w:tcPr>
    </w:tblStylePr>
    <w:tblStylePr w:type="band1Horz">
      <w:tblPr/>
      <w:tcPr>
        <w:shd w:val="clear" w:color="ACD8E4" w:themeColor="accent5" w:themeTint="75" w:fill="auto"/>
      </w:tcPr>
    </w:tblStylePr>
  </w:style>
  <w:style w:type="table" w:customStyle="1" w:styleId="GridTable5Dark-Accent6">
    <w:name w:val="Grid Table 5 Dark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auto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band1Vert">
      <w:tblPr/>
      <w:tcPr>
        <w:shd w:val="clear" w:color="FBCEAA" w:themeColor="accent6" w:themeTint="75" w:fill="auto"/>
      </w:tcPr>
    </w:tblStylePr>
    <w:tblStylePr w:type="band1Horz">
      <w:tblPr/>
      <w:tcPr>
        <w:shd w:val="clear" w:color="FBCEAA" w:themeColor="accent6" w:themeTint="75" w:fill="auto"/>
      </w:tcPr>
    </w:tblStylePr>
  </w:style>
  <w:style w:type="table" w:customStyle="1" w:styleId="GridTable6Colorful">
    <w:name w:val="Grid Table 6 Colorful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auto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auto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auto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auto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auto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auto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auto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tblPr/>
      <w:tcPr>
        <w:shd w:val="clear" w:color="BFBFBF" w:themeColor="text1" w:themeTint="40" w:fill="auto"/>
      </w:tcPr>
    </w:tblStylePr>
  </w:style>
  <w:style w:type="table" w:customStyle="1" w:styleId="ListTable1Light-Accent1">
    <w:name w:val="List Table 1 Light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auto"/>
      </w:tcPr>
    </w:tblStylePr>
    <w:tblStylePr w:type="band1Horz">
      <w:tblPr/>
      <w:tcPr>
        <w:shd w:val="clear" w:color="D2DFEE" w:themeColor="accent1" w:themeTint="40" w:fill="auto"/>
      </w:tcPr>
    </w:tblStylePr>
  </w:style>
  <w:style w:type="table" w:customStyle="1" w:styleId="ListTable1Light-Accent2">
    <w:name w:val="List Table 1 Light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auto"/>
      </w:tcPr>
    </w:tblStylePr>
    <w:tblStylePr w:type="band1Horz">
      <w:tblPr/>
      <w:tcPr>
        <w:shd w:val="clear" w:color="EFD2D2" w:themeColor="accent2" w:themeTint="40" w:fill="auto"/>
      </w:tcPr>
    </w:tblStylePr>
  </w:style>
  <w:style w:type="table" w:customStyle="1" w:styleId="ListTable1Light-Accent3">
    <w:name w:val="List Table 1 Light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auto"/>
      </w:tcPr>
    </w:tblStylePr>
    <w:tblStylePr w:type="band1Horz">
      <w:tblPr/>
      <w:tcPr>
        <w:shd w:val="clear" w:color="E5EED5" w:themeColor="accent3" w:themeTint="40" w:fill="auto"/>
      </w:tcPr>
    </w:tblStylePr>
  </w:style>
  <w:style w:type="table" w:customStyle="1" w:styleId="ListTable1Light-Accent4">
    <w:name w:val="List Table 1 Light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auto"/>
      </w:tcPr>
    </w:tblStylePr>
    <w:tblStylePr w:type="band1Horz">
      <w:tblPr/>
      <w:tcPr>
        <w:shd w:val="clear" w:color="DFD8E7" w:themeColor="accent4" w:themeTint="40" w:fill="auto"/>
      </w:tcPr>
    </w:tblStylePr>
  </w:style>
  <w:style w:type="table" w:customStyle="1" w:styleId="ListTable1Light-Accent5">
    <w:name w:val="List Table 1 Light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auto"/>
      </w:tcPr>
    </w:tblStylePr>
    <w:tblStylePr w:type="band1Horz">
      <w:tblPr/>
      <w:tcPr>
        <w:shd w:val="clear" w:color="D1EAF0" w:themeColor="accent5" w:themeTint="40" w:fill="auto"/>
      </w:tcPr>
    </w:tblStylePr>
  </w:style>
  <w:style w:type="table" w:customStyle="1" w:styleId="ListTable1Light-Accent6">
    <w:name w:val="List Table 1 Light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auto"/>
      </w:tcPr>
    </w:tblStylePr>
    <w:tblStylePr w:type="band1Horz">
      <w:tblPr/>
      <w:tcPr>
        <w:shd w:val="clear" w:color="FDE4D0" w:themeColor="accent6" w:themeTint="40" w:fill="auto"/>
      </w:tcPr>
    </w:tblStylePr>
  </w:style>
  <w:style w:type="table" w:customStyle="1" w:styleId="ListTable2">
    <w:name w:val="List Table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2-Accent1">
    <w:name w:val="List Table 2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</w:style>
  <w:style w:type="table" w:customStyle="1" w:styleId="ListTable2-Accent2">
    <w:name w:val="List Table 2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</w:style>
  <w:style w:type="table" w:customStyle="1" w:styleId="ListTable2-Accent3">
    <w:name w:val="List Table 2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</w:style>
  <w:style w:type="table" w:customStyle="1" w:styleId="ListTable2-Accent4">
    <w:name w:val="List Table 2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</w:style>
  <w:style w:type="table" w:customStyle="1" w:styleId="ListTable2-Accent5">
    <w:name w:val="List Table 2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</w:style>
  <w:style w:type="table" w:customStyle="1" w:styleId="ListTable2-Accent6">
    <w:name w:val="List Table 2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</w:style>
  <w:style w:type="table" w:customStyle="1" w:styleId="ListTable3">
    <w:name w:val="List Table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auto"/>
      </w:tcPr>
    </w:tblStylePr>
  </w:style>
  <w:style w:type="table" w:customStyle="1" w:styleId="ListTable4-Accent1">
    <w:name w:val="List Table 4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auto"/>
      </w:tcPr>
    </w:tblStylePr>
  </w:style>
  <w:style w:type="table" w:customStyle="1" w:styleId="ListTable4-Accent2">
    <w:name w:val="List Table 4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auto"/>
      </w:tcPr>
    </w:tblStylePr>
  </w:style>
  <w:style w:type="table" w:customStyle="1" w:styleId="ListTable4-Accent3">
    <w:name w:val="List Table 4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auto"/>
      </w:tcPr>
    </w:tblStylePr>
  </w:style>
  <w:style w:type="table" w:customStyle="1" w:styleId="ListTable4-Accent4">
    <w:name w:val="List Table 4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auto"/>
      </w:tcPr>
    </w:tblStylePr>
  </w:style>
  <w:style w:type="table" w:customStyle="1" w:styleId="ListTable4-Accent5">
    <w:name w:val="List Table 4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auto"/>
      </w:tcPr>
    </w:tblStylePr>
  </w:style>
  <w:style w:type="table" w:customStyle="1" w:styleId="ListTable4-Accent6">
    <w:name w:val="List Table 4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auto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auto"/>
      </w:tcPr>
    </w:tblStylePr>
  </w:style>
  <w:style w:type="table" w:customStyle="1" w:styleId="ListTable5Dark">
    <w:name w:val="List Table 5 Dark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auto"/>
      </w:tcPr>
    </w:tblStylePr>
  </w:style>
  <w:style w:type="table" w:customStyle="1" w:styleId="ListTable5Dark-Accent1">
    <w:name w:val="List Table 5 Dark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auto"/>
      </w:tcPr>
    </w:tblStylePr>
  </w:style>
  <w:style w:type="table" w:customStyle="1" w:styleId="ListTable5Dark-Accent2">
    <w:name w:val="List Table 5 Dark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auto"/>
      </w:tcPr>
    </w:tblStylePr>
  </w:style>
  <w:style w:type="table" w:customStyle="1" w:styleId="ListTable5Dark-Accent3">
    <w:name w:val="List Table 5 Dark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auto"/>
      </w:tcPr>
    </w:tblStylePr>
  </w:style>
  <w:style w:type="table" w:customStyle="1" w:styleId="ListTable5Dark-Accent4">
    <w:name w:val="List Table 5 Dark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auto"/>
      </w:tcPr>
    </w:tblStylePr>
  </w:style>
  <w:style w:type="table" w:customStyle="1" w:styleId="ListTable5Dark-Accent5">
    <w:name w:val="List Table 5 Dark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auto"/>
      </w:tcPr>
    </w:tblStylePr>
  </w:style>
  <w:style w:type="table" w:customStyle="1" w:styleId="ListTable5Dark-Accent6">
    <w:name w:val="List Table 5 Dark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auto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auto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auto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auto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auto"/>
      </w:tcPr>
    </w:tblStylePr>
  </w:style>
  <w:style w:type="table" w:customStyle="1" w:styleId="ListTable6Colorful">
    <w:name w:val="List Table 6 Colorful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F81BD" w:themeColor="accent1"/>
        <w:bottom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auto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9695" w:themeColor="accent2" w:themeTint="97"/>
        <w:bottom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3D69B" w:themeColor="accent3" w:themeTint="98"/>
        <w:bottom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auto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2A1C6" w:themeColor="accent4" w:themeTint="9A"/>
        <w:bottom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2CCDC" w:themeColor="accent5" w:themeTint="9A"/>
        <w:bottom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auto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AC090" w:themeColor="accent6" w:themeTint="98"/>
        <w:bottom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auto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auto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auto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auto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auto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D99695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auto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auto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3D69B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auto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auto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B2A1C6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auto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auto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92CCDC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auto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auto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AC090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auto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auto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auto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auto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Lined-Accent1">
    <w:name w:val="Lined - Accent 1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</w:style>
  <w:style w:type="table" w:customStyle="1" w:styleId="Lined-Accent2">
    <w:name w:val="Lined - Accent 2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Lined-Accent3">
    <w:name w:val="Lined - Accent 3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Lined-Accent4">
    <w:name w:val="Lined - Accent 4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Lined-Accent5">
    <w:name w:val="Lined - Accent 5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Lined-Accent6">
    <w:name w:val="Lined - Accent 6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BorderedLined-Accent">
    <w:name w:val="Bordered &amp; Lined - Accent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auto"/>
      </w:tcPr>
    </w:tblStylePr>
  </w:style>
  <w:style w:type="table" w:customStyle="1" w:styleId="BorderedLined-Accent1">
    <w:name w:val="Bordered &amp; Lined - Accent 1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auto"/>
      </w:tcPr>
    </w:tblStylePr>
  </w:style>
  <w:style w:type="table" w:customStyle="1" w:styleId="BorderedLined-Accent2">
    <w:name w:val="Bordered &amp; Lined - Accent 2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auto"/>
      </w:tcPr>
    </w:tblStylePr>
  </w:style>
  <w:style w:type="table" w:customStyle="1" w:styleId="BorderedLined-Accent3">
    <w:name w:val="Bordered &amp; Lined - Accent 3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auto"/>
      </w:tcPr>
    </w:tblStylePr>
  </w:style>
  <w:style w:type="table" w:customStyle="1" w:styleId="BorderedLined-Accent4">
    <w:name w:val="Bordered &amp; Lined - Accent 4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auto"/>
      </w:tcPr>
    </w:tblStylePr>
  </w:style>
  <w:style w:type="table" w:customStyle="1" w:styleId="BorderedLined-Accent5">
    <w:name w:val="Bordered &amp; Lined - Accent 5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auto"/>
      </w:tcPr>
    </w:tblStylePr>
  </w:style>
  <w:style w:type="table" w:customStyle="1" w:styleId="BorderedLined-Accent6">
    <w:name w:val="Bordered &amp; Lined - Accent 6"/>
    <w:basedOn w:val="a1"/>
    <w:uiPriority w:val="99"/>
    <w:rsid w:val="00E83FA2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auto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auto"/>
      </w:tcPr>
    </w:tblStylePr>
  </w:style>
  <w:style w:type="table" w:customStyle="1" w:styleId="Bordered">
    <w:name w:val="Bordered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E83FA2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ab">
    <w:name w:val="Hyperlink"/>
    <w:uiPriority w:val="99"/>
    <w:unhideWhenUsed/>
    <w:rsid w:val="00E83FA2"/>
    <w:rPr>
      <w:color w:val="0000FF" w:themeColor="hyperlink"/>
      <w:u w:val="single"/>
    </w:rPr>
  </w:style>
  <w:style w:type="paragraph" w:styleId="ac">
    <w:name w:val="footnote text"/>
    <w:basedOn w:val="a"/>
    <w:link w:val="ad"/>
    <w:uiPriority w:val="99"/>
    <w:semiHidden/>
    <w:unhideWhenUsed/>
    <w:rsid w:val="00E83FA2"/>
    <w:pPr>
      <w:spacing w:after="40"/>
    </w:pPr>
    <w:rPr>
      <w:sz w:val="18"/>
    </w:rPr>
  </w:style>
  <w:style w:type="character" w:customStyle="1" w:styleId="ad">
    <w:name w:val="Текст сноски Знак"/>
    <w:link w:val="ac"/>
    <w:uiPriority w:val="99"/>
    <w:rsid w:val="00E83FA2"/>
    <w:rPr>
      <w:sz w:val="18"/>
    </w:rPr>
  </w:style>
  <w:style w:type="character" w:styleId="ae">
    <w:name w:val="footnote reference"/>
    <w:basedOn w:val="a0"/>
    <w:uiPriority w:val="99"/>
    <w:unhideWhenUsed/>
    <w:rsid w:val="00E83FA2"/>
    <w:rPr>
      <w:vertAlign w:val="superscript"/>
    </w:rPr>
  </w:style>
  <w:style w:type="paragraph" w:styleId="af">
    <w:name w:val="endnote text"/>
    <w:basedOn w:val="a"/>
    <w:link w:val="af0"/>
    <w:uiPriority w:val="99"/>
    <w:semiHidden/>
    <w:unhideWhenUsed/>
    <w:rsid w:val="00E83FA2"/>
    <w:rPr>
      <w:sz w:val="20"/>
    </w:rPr>
  </w:style>
  <w:style w:type="character" w:customStyle="1" w:styleId="af0">
    <w:name w:val="Текст концевой сноски Знак"/>
    <w:link w:val="af"/>
    <w:uiPriority w:val="99"/>
    <w:rsid w:val="00E83FA2"/>
    <w:rPr>
      <w:sz w:val="20"/>
    </w:rPr>
  </w:style>
  <w:style w:type="character" w:styleId="af1">
    <w:name w:val="endnote reference"/>
    <w:basedOn w:val="a0"/>
    <w:uiPriority w:val="99"/>
    <w:semiHidden/>
    <w:unhideWhenUsed/>
    <w:rsid w:val="00E83FA2"/>
    <w:rPr>
      <w:vertAlign w:val="superscript"/>
    </w:rPr>
  </w:style>
  <w:style w:type="paragraph" w:styleId="1">
    <w:name w:val="toc 1"/>
    <w:basedOn w:val="a"/>
    <w:next w:val="a"/>
    <w:uiPriority w:val="39"/>
    <w:unhideWhenUsed/>
    <w:rsid w:val="00E83FA2"/>
    <w:pPr>
      <w:spacing w:after="57"/>
    </w:pPr>
  </w:style>
  <w:style w:type="paragraph" w:styleId="21">
    <w:name w:val="toc 2"/>
    <w:basedOn w:val="a"/>
    <w:next w:val="a"/>
    <w:uiPriority w:val="39"/>
    <w:unhideWhenUsed/>
    <w:rsid w:val="00E83FA2"/>
    <w:pPr>
      <w:spacing w:after="57"/>
      <w:ind w:left="283"/>
    </w:pPr>
  </w:style>
  <w:style w:type="paragraph" w:styleId="3">
    <w:name w:val="toc 3"/>
    <w:basedOn w:val="a"/>
    <w:next w:val="a"/>
    <w:uiPriority w:val="39"/>
    <w:unhideWhenUsed/>
    <w:rsid w:val="00E83FA2"/>
    <w:pPr>
      <w:spacing w:after="57"/>
      <w:ind w:left="567"/>
    </w:pPr>
  </w:style>
  <w:style w:type="paragraph" w:styleId="4">
    <w:name w:val="toc 4"/>
    <w:basedOn w:val="a"/>
    <w:next w:val="a"/>
    <w:uiPriority w:val="39"/>
    <w:unhideWhenUsed/>
    <w:rsid w:val="00E83FA2"/>
    <w:pPr>
      <w:spacing w:after="57"/>
      <w:ind w:left="850"/>
    </w:pPr>
  </w:style>
  <w:style w:type="paragraph" w:styleId="5">
    <w:name w:val="toc 5"/>
    <w:basedOn w:val="a"/>
    <w:next w:val="a"/>
    <w:uiPriority w:val="39"/>
    <w:unhideWhenUsed/>
    <w:rsid w:val="00E83FA2"/>
    <w:pPr>
      <w:spacing w:after="57"/>
      <w:ind w:left="1134"/>
    </w:pPr>
  </w:style>
  <w:style w:type="paragraph" w:styleId="6">
    <w:name w:val="toc 6"/>
    <w:basedOn w:val="a"/>
    <w:next w:val="a"/>
    <w:uiPriority w:val="39"/>
    <w:unhideWhenUsed/>
    <w:rsid w:val="00E83FA2"/>
    <w:pPr>
      <w:spacing w:after="57"/>
      <w:ind w:left="1417"/>
    </w:pPr>
  </w:style>
  <w:style w:type="paragraph" w:styleId="7">
    <w:name w:val="toc 7"/>
    <w:basedOn w:val="a"/>
    <w:next w:val="a"/>
    <w:uiPriority w:val="39"/>
    <w:unhideWhenUsed/>
    <w:rsid w:val="00E83FA2"/>
    <w:pPr>
      <w:spacing w:after="57"/>
      <w:ind w:left="1701"/>
    </w:pPr>
  </w:style>
  <w:style w:type="paragraph" w:styleId="8">
    <w:name w:val="toc 8"/>
    <w:basedOn w:val="a"/>
    <w:next w:val="a"/>
    <w:uiPriority w:val="39"/>
    <w:unhideWhenUsed/>
    <w:rsid w:val="00E83FA2"/>
    <w:pPr>
      <w:spacing w:after="57"/>
      <w:ind w:left="1984"/>
    </w:pPr>
  </w:style>
  <w:style w:type="paragraph" w:styleId="9">
    <w:name w:val="toc 9"/>
    <w:basedOn w:val="a"/>
    <w:next w:val="a"/>
    <w:uiPriority w:val="39"/>
    <w:unhideWhenUsed/>
    <w:rsid w:val="00E83FA2"/>
    <w:pPr>
      <w:spacing w:after="57"/>
      <w:ind w:left="2268"/>
    </w:pPr>
  </w:style>
  <w:style w:type="paragraph" w:styleId="af2">
    <w:name w:val="TOC Heading"/>
    <w:uiPriority w:val="39"/>
    <w:unhideWhenUsed/>
    <w:rsid w:val="00E83FA2"/>
  </w:style>
  <w:style w:type="paragraph" w:styleId="af3">
    <w:name w:val="table of figures"/>
    <w:basedOn w:val="a"/>
    <w:next w:val="a"/>
    <w:uiPriority w:val="99"/>
    <w:unhideWhenUsed/>
    <w:rsid w:val="00E83FA2"/>
  </w:style>
  <w:style w:type="paragraph" w:customStyle="1" w:styleId="Heading3">
    <w:name w:val="Heading 3"/>
    <w:basedOn w:val="a"/>
    <w:next w:val="a"/>
    <w:link w:val="30"/>
    <w:uiPriority w:val="9"/>
    <w:semiHidden/>
    <w:unhideWhenUsed/>
    <w:qFormat/>
    <w:rsid w:val="00E83FA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f4">
    <w:name w:val="No Spacing"/>
    <w:link w:val="af5"/>
    <w:qFormat/>
    <w:rsid w:val="00E83FA2"/>
    <w:pPr>
      <w:spacing w:after="0" w:line="240" w:lineRule="auto"/>
    </w:pPr>
    <w:rPr>
      <w:rFonts w:ascii="Times New Roman" w:hAnsi="Times New Roman" w:cs="Times New Roman"/>
      <w:sz w:val="24"/>
      <w:szCs w:val="20"/>
    </w:rPr>
  </w:style>
  <w:style w:type="character" w:customStyle="1" w:styleId="af5">
    <w:name w:val="Без интервала Знак"/>
    <w:link w:val="af4"/>
    <w:rsid w:val="00E83FA2"/>
    <w:rPr>
      <w:rFonts w:ascii="Times New Roman" w:hAnsi="Times New Roman" w:cs="Times New Roman"/>
      <w:sz w:val="24"/>
      <w:szCs w:val="20"/>
    </w:rPr>
  </w:style>
  <w:style w:type="character" w:customStyle="1" w:styleId="30">
    <w:name w:val="Заголовок 3 Знак"/>
    <w:basedOn w:val="a0"/>
    <w:link w:val="Heading3"/>
    <w:uiPriority w:val="9"/>
    <w:semiHidden/>
    <w:rsid w:val="00E83FA2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customStyle="1" w:styleId="Default">
    <w:name w:val="Default"/>
    <w:rsid w:val="0060405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22">
    <w:name w:val="Стиль2"/>
    <w:basedOn w:val="a"/>
    <w:rsid w:val="00604058"/>
    <w:pPr>
      <w:ind w:firstLine="709"/>
      <w:jc w:val="both"/>
    </w:pPr>
    <w:rPr>
      <w:sz w:val="28"/>
      <w:szCs w:val="20"/>
    </w:rPr>
  </w:style>
  <w:style w:type="paragraph" w:customStyle="1" w:styleId="10">
    <w:name w:val="Без интервала1"/>
    <w:link w:val="NoSpacingChar"/>
    <w:rsid w:val="00604058"/>
    <w:pPr>
      <w:spacing w:after="0" w:line="240" w:lineRule="auto"/>
    </w:pPr>
    <w:rPr>
      <w:rFonts w:ascii="Calibri" w:eastAsia="Times New Roman" w:hAnsi="Calibri" w:cs="Times New Roman"/>
    </w:rPr>
  </w:style>
  <w:style w:type="character" w:customStyle="1" w:styleId="NoSpacingChar">
    <w:name w:val="No Spacing Char"/>
    <w:link w:val="10"/>
    <w:locked/>
    <w:rsid w:val="00604058"/>
    <w:rPr>
      <w:rFonts w:ascii="Calibri" w:eastAsia="Times New Roman" w:hAnsi="Calibri" w:cs="Times New Roman"/>
    </w:rPr>
  </w:style>
  <w:style w:type="paragraph" w:customStyle="1" w:styleId="23">
    <w:name w:val="Без интервала2"/>
    <w:rsid w:val="00416516"/>
    <w:pPr>
      <w:spacing w:after="0" w:line="240" w:lineRule="auto"/>
    </w:pPr>
    <w:rPr>
      <w:rFonts w:ascii="Calibri" w:eastAsia="Times New Roman" w:hAnsi="Calibri" w:cs="Times New Roman"/>
    </w:rPr>
  </w:style>
  <w:style w:type="paragraph" w:styleId="af6">
    <w:name w:val="header"/>
    <w:basedOn w:val="a"/>
    <w:link w:val="af7"/>
    <w:uiPriority w:val="99"/>
    <w:semiHidden/>
    <w:unhideWhenUsed/>
    <w:rsid w:val="00416516"/>
    <w:pPr>
      <w:tabs>
        <w:tab w:val="center" w:pos="4677"/>
        <w:tab w:val="right" w:pos="9355"/>
      </w:tabs>
    </w:pPr>
  </w:style>
  <w:style w:type="character" w:customStyle="1" w:styleId="af7">
    <w:name w:val="Верхний колонтитул Знак"/>
    <w:basedOn w:val="a0"/>
    <w:link w:val="af6"/>
    <w:uiPriority w:val="99"/>
    <w:semiHidden/>
    <w:rsid w:val="00416516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8">
    <w:name w:val="footer"/>
    <w:basedOn w:val="a"/>
    <w:link w:val="af9"/>
    <w:uiPriority w:val="99"/>
    <w:semiHidden/>
    <w:unhideWhenUsed/>
    <w:rsid w:val="00416516"/>
    <w:pPr>
      <w:tabs>
        <w:tab w:val="center" w:pos="4677"/>
        <w:tab w:val="right" w:pos="9355"/>
      </w:tabs>
    </w:pPr>
  </w:style>
  <w:style w:type="character" w:customStyle="1" w:styleId="af9">
    <w:name w:val="Нижний колонтитул Знак"/>
    <w:basedOn w:val="a0"/>
    <w:link w:val="af8"/>
    <w:uiPriority w:val="99"/>
    <w:semiHidden/>
    <w:rsid w:val="00416516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w:settings xmlns:w="http://schemas.openxmlformats.org/wordprocessingml/2006/main">
  <w:SpecialFormsHighlight w:val="c9c8ff"/>
</w:settings>
</file>

<file path=customXml/itemProps1.xml><?xml version="1.0" encoding="utf-8"?>
<ds:datastoreItem xmlns:ds="http://schemas.openxmlformats.org/officeDocument/2006/customXml" ds:itemID="{5D0AEA6B-E499-4EEF-98A3-AFBB261C493E}">
  <ds:schemaRefs>
    <ds:schemaRef ds:uri="http://schemas.openxmlformats.org/wordprocessingml/2006/mai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691</Words>
  <Characters>3945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KSP</dc:creator>
  <cp:lastModifiedBy>KSK1</cp:lastModifiedBy>
  <cp:revision>4</cp:revision>
  <cp:lastPrinted>2023-12-08T06:17:00Z</cp:lastPrinted>
  <dcterms:created xsi:type="dcterms:W3CDTF">2023-12-08T07:49:00Z</dcterms:created>
  <dcterms:modified xsi:type="dcterms:W3CDTF">2023-12-08T08:58:00Z</dcterms:modified>
</cp:coreProperties>
</file>