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2" w:rsidRPr="005A33CE" w:rsidRDefault="00DE007F">
      <w:pPr>
        <w:pStyle w:val="Heading3"/>
        <w:keepNext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5A33CE">
        <w:rPr>
          <w:rFonts w:ascii="Times New Roman" w:hAnsi="Times New Roman" w:cs="Times New Roman"/>
          <w:color w:val="auto"/>
        </w:rPr>
        <w:t xml:space="preserve">Информация </w:t>
      </w:r>
      <w:r w:rsidRPr="005A33CE">
        <w:rPr>
          <w:rFonts w:ascii="Times New Roman" w:eastAsia="Times New Roman" w:hAnsi="Times New Roman" w:cs="Times New Roman"/>
          <w:bCs w:val="0"/>
          <w:color w:val="auto"/>
        </w:rPr>
        <w:t>о результатах экспертно-аналитического мероприятия</w:t>
      </w:r>
    </w:p>
    <w:p w:rsidR="00E83FA2" w:rsidRDefault="00DE007F" w:rsidP="005A33CE">
      <w:pPr>
        <w:jc w:val="center"/>
        <w:rPr>
          <w:b/>
        </w:rPr>
      </w:pPr>
      <w:r w:rsidRPr="005A33CE">
        <w:rPr>
          <w:b/>
        </w:rPr>
        <w:t xml:space="preserve"> «Экспертиза проекта бюджета </w:t>
      </w:r>
      <w:r w:rsidR="005A33CE" w:rsidRPr="005A33CE">
        <w:rPr>
          <w:b/>
        </w:rPr>
        <w:t>городского округа Кинешма на 202</w:t>
      </w:r>
      <w:r w:rsidR="005A33CE">
        <w:rPr>
          <w:b/>
        </w:rPr>
        <w:t>2</w:t>
      </w:r>
      <w:r w:rsidR="005A33CE" w:rsidRPr="005A33CE">
        <w:rPr>
          <w:b/>
        </w:rPr>
        <w:t xml:space="preserve"> и плановый период 202</w:t>
      </w:r>
      <w:r w:rsidR="005A33CE">
        <w:rPr>
          <w:b/>
        </w:rPr>
        <w:t>3</w:t>
      </w:r>
      <w:r w:rsidR="005A33CE" w:rsidRPr="005A33CE">
        <w:rPr>
          <w:b/>
        </w:rPr>
        <w:t xml:space="preserve"> и 202</w:t>
      </w:r>
      <w:r w:rsidR="005A33CE">
        <w:rPr>
          <w:b/>
        </w:rPr>
        <w:t>4</w:t>
      </w:r>
      <w:r w:rsidR="005A33CE" w:rsidRPr="005A33CE">
        <w:rPr>
          <w:b/>
        </w:rPr>
        <w:t xml:space="preserve"> годов</w:t>
      </w:r>
      <w:r w:rsidRPr="005A33CE">
        <w:rPr>
          <w:b/>
        </w:rPr>
        <w:t>»</w:t>
      </w:r>
    </w:p>
    <w:p w:rsidR="00604058" w:rsidRPr="005A33CE" w:rsidRDefault="00604058" w:rsidP="005A33CE">
      <w:pPr>
        <w:jc w:val="center"/>
        <w:rPr>
          <w:b/>
        </w:rPr>
      </w:pPr>
    </w:p>
    <w:p w:rsidR="00E55A87" w:rsidRPr="00416516" w:rsidRDefault="00E55A87" w:rsidP="00E55A87">
      <w:pPr>
        <w:ind w:firstLine="709"/>
        <w:jc w:val="both"/>
      </w:pPr>
      <w:r w:rsidRPr="00416516">
        <w:t>Информация предоставляется в соответствии со статьей 19 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соответствии со статьей 9 «Положения о контрольно-счетной комиссии городского округа Кинешма», утвержденного решением городской Думы городского округа Кинешма Ивановской области от  29.09.2021 № 24/124.</w:t>
      </w:r>
    </w:p>
    <w:p w:rsidR="00E55A87" w:rsidRPr="00416516" w:rsidRDefault="00E55A87" w:rsidP="00E55A87">
      <w:pPr>
        <w:pStyle w:val="Default"/>
        <w:ind w:firstLine="709"/>
        <w:jc w:val="both"/>
      </w:pPr>
      <w:r w:rsidRPr="00416516">
        <w:t xml:space="preserve">Заключение </w:t>
      </w:r>
      <w:r w:rsidRPr="00416516">
        <w:rPr>
          <w:bCs/>
          <w:color w:val="auto"/>
        </w:rPr>
        <w:t xml:space="preserve">контрольно - счетной </w:t>
      </w:r>
      <w:r w:rsidRPr="00416516">
        <w:rPr>
          <w:color w:val="auto"/>
        </w:rPr>
        <w:t>комиссии  городского  округа  Кинешма на  проект  решения    городской  Думы</w:t>
      </w:r>
      <w:r w:rsidRPr="00416516">
        <w:rPr>
          <w:bCs/>
          <w:color w:val="auto"/>
        </w:rPr>
        <w:t xml:space="preserve"> </w:t>
      </w:r>
      <w:r w:rsidRPr="00416516">
        <w:t>городского округа Кинешма «О бюджете городского округа Кинешма на 2022 год и плановый период 2023 и 2024 годов», утверждено решением Коллегии контрольно-счетной комиссии городского округа Кинешма  от № 5 от 24.11.2021г.</w:t>
      </w:r>
    </w:p>
    <w:p w:rsidR="00604058" w:rsidRPr="00416516" w:rsidRDefault="00604058" w:rsidP="00E55A87">
      <w:pPr>
        <w:pStyle w:val="Default"/>
        <w:ind w:firstLine="709"/>
        <w:jc w:val="both"/>
        <w:rPr>
          <w:color w:val="auto"/>
        </w:rPr>
      </w:pPr>
      <w:r w:rsidRPr="00416516">
        <w:rPr>
          <w:color w:val="auto"/>
        </w:rPr>
        <w:t>Представленный проект решения на 2022 год и плановый период 2023 и 2024 годов,  перечень и содержание документов, представленных одновременно с проектом решения, соответствуют требованиям Бюджетного кодекса Российской Федерации и Положения о бюджетном процессе в городском округе Кинешма.</w:t>
      </w:r>
    </w:p>
    <w:p w:rsidR="00416516" w:rsidRPr="00416516" w:rsidRDefault="00416516" w:rsidP="00416516">
      <w:pPr>
        <w:ind w:firstLine="709"/>
        <w:jc w:val="both"/>
      </w:pPr>
      <w:r w:rsidRPr="00416516">
        <w:t xml:space="preserve"> Представленный проект бюджета городского округа Кинешма на 2021 год и плановый период 2022 и 2023 годов в целом соответствует бюджетному законодательству и основным направлениям налоговой и бюджетной политики городского округа Кинешма.</w:t>
      </w:r>
    </w:p>
    <w:p w:rsidR="00416516" w:rsidRPr="00416516" w:rsidRDefault="00416516" w:rsidP="00416516">
      <w:pPr>
        <w:ind w:firstLine="708"/>
        <w:jc w:val="both"/>
        <w:rPr>
          <w:bCs/>
        </w:rPr>
      </w:pPr>
      <w:r w:rsidRPr="00416516">
        <w:t xml:space="preserve">   </w:t>
      </w:r>
      <w:r w:rsidRPr="00416516">
        <w:rPr>
          <w:bCs/>
        </w:rPr>
        <w:t xml:space="preserve"> Сформированный на следующий трехлетний период 2022-2024 года прогноз демонстрирует сдержанный сценарий социально-экономического развития городского округа Кинешма: умеренный рост экономики города с корректировкой ряда основных макроэкономических показателей в сторону замедления их темпов роста при сохранении инфляции в прогнозном периоде.</w:t>
      </w:r>
    </w:p>
    <w:p w:rsidR="00416516" w:rsidRPr="00416516" w:rsidRDefault="00416516" w:rsidP="00416516">
      <w:pPr>
        <w:pStyle w:val="Default"/>
        <w:ind w:firstLine="708"/>
        <w:jc w:val="both"/>
        <w:rPr>
          <w:color w:val="auto"/>
        </w:rPr>
      </w:pPr>
      <w:r w:rsidRPr="00416516">
        <w:rPr>
          <w:color w:val="auto"/>
        </w:rPr>
        <w:t xml:space="preserve">Прогноз социально-экономического развития городского округа Кинешма на 2022 год и плановый период 2023 и 2024 годов  в соответствии с нормой п.10 Порядка  разработан </w:t>
      </w:r>
      <w:r w:rsidRPr="00416516">
        <w:rPr>
          <w:i/>
          <w:color w:val="auto"/>
        </w:rPr>
        <w:t>в одном варианте</w:t>
      </w:r>
      <w:r w:rsidRPr="00416516">
        <w:rPr>
          <w:color w:val="auto"/>
        </w:rPr>
        <w:t xml:space="preserve">, </w:t>
      </w:r>
      <w:r w:rsidRPr="00416516">
        <w:rPr>
          <w:bCs/>
        </w:rPr>
        <w:t>который противоречит пункту 9 этого же Порядка,</w:t>
      </w:r>
      <w:r w:rsidRPr="00416516">
        <w:rPr>
          <w:color w:val="auto"/>
        </w:rPr>
        <w:t xml:space="preserve"> </w:t>
      </w:r>
      <w:r w:rsidRPr="00416516">
        <w:t xml:space="preserve">устанавливающего, что прогноз социально-экономического развития на среднесрочный период должен разрабатываться </w:t>
      </w:r>
      <w:r w:rsidRPr="00416516">
        <w:rPr>
          <w:bCs/>
          <w:i/>
          <w:iCs/>
        </w:rPr>
        <w:t xml:space="preserve">на вариативной основе. </w:t>
      </w:r>
    </w:p>
    <w:p w:rsidR="00416516" w:rsidRPr="00416516" w:rsidRDefault="00416516" w:rsidP="00416516">
      <w:pPr>
        <w:pStyle w:val="Default"/>
        <w:ind w:firstLine="708"/>
        <w:jc w:val="both"/>
        <w:rPr>
          <w:color w:val="auto"/>
        </w:rPr>
      </w:pPr>
      <w:r w:rsidRPr="00416516">
        <w:rPr>
          <w:bCs/>
          <w:color w:val="auto"/>
        </w:rPr>
        <w:t xml:space="preserve">Разработка прогноза социально-экономического развития городского округа Кинешма в нескольких вариантах (в оптимистичном, базовом, и, что особенно важно, в пессимистичном вариантах развития экономики города) создаст более качественный базис для принятия обоснованных решений по формированию управленческого сценария развития города и основного финансового документа – бюджета  городского округа Кинешма. </w:t>
      </w:r>
    </w:p>
    <w:p w:rsidR="00416516" w:rsidRPr="00416516" w:rsidRDefault="00416516" w:rsidP="00416516">
      <w:pPr>
        <w:ind w:firstLine="709"/>
      </w:pPr>
      <w:r w:rsidRPr="00416516">
        <w:t xml:space="preserve">Динамика </w:t>
      </w:r>
      <w:r w:rsidRPr="00416516">
        <w:rPr>
          <w:bCs/>
        </w:rPr>
        <w:t>основных характеристик бюджета</w:t>
      </w:r>
      <w:r w:rsidRPr="00416516">
        <w:t xml:space="preserve"> городского округа Кинешма</w:t>
      </w:r>
      <w:r w:rsidRPr="00416516">
        <w:rPr>
          <w:bCs/>
        </w:rPr>
        <w:t xml:space="preserve"> </w:t>
      </w:r>
      <w:r w:rsidRPr="00416516">
        <w:t>на 2022 год и плановый период 2023и 2024 годов</w:t>
      </w:r>
      <w:r w:rsidRPr="00416516">
        <w:rPr>
          <w:i/>
        </w:rPr>
        <w:t xml:space="preserve"> </w:t>
      </w:r>
      <w:r w:rsidRPr="00416516">
        <w:t xml:space="preserve"> характеризуется следующими изменениями: </w:t>
      </w:r>
    </w:p>
    <w:p w:rsidR="00416516" w:rsidRPr="00416516" w:rsidRDefault="00416516" w:rsidP="00416516">
      <w:pPr>
        <w:pStyle w:val="22"/>
        <w:ind w:firstLine="0"/>
        <w:rPr>
          <w:sz w:val="24"/>
          <w:szCs w:val="24"/>
        </w:rPr>
      </w:pPr>
      <w:r w:rsidRPr="00416516">
        <w:rPr>
          <w:sz w:val="24"/>
          <w:szCs w:val="24"/>
        </w:rPr>
        <w:t xml:space="preserve">       </w:t>
      </w:r>
      <w:r w:rsidRPr="00416516">
        <w:rPr>
          <w:sz w:val="24"/>
          <w:szCs w:val="24"/>
        </w:rPr>
        <w:tab/>
        <w:t xml:space="preserve"> в 2022 году прогноз доходов бюджета городского округа Кинешма имеет тенденцию к увеличению по сравнению с ожидаемым исполнением за 2021 год на                    168 545,9 тыс.руб., а расходов на 195 911,1 тыс.руб., дефицит увеличится на 27 365,2 тыс.руб.  и составит  77 334,6 тыс.руб.</w:t>
      </w:r>
    </w:p>
    <w:p w:rsidR="00416516" w:rsidRPr="00416516" w:rsidRDefault="00416516" w:rsidP="00416516">
      <w:pPr>
        <w:ind w:firstLine="708"/>
        <w:jc w:val="both"/>
      </w:pPr>
      <w:r w:rsidRPr="00416516">
        <w:t xml:space="preserve">- в 2023 году доходы  прогнозируются  в объеме 1 428 275,3  тыс.руб.  или на                1 110 581,2  тыс.руб.  меньше  уровня прогноза 2022 года, а расходы  в объеме </w:t>
      </w:r>
      <w:r w:rsidRPr="00416516">
        <w:rPr>
          <w:bCs/>
          <w:color w:val="000000"/>
        </w:rPr>
        <w:t>1418275,3</w:t>
      </w:r>
      <w:r w:rsidRPr="00416516">
        <w:t xml:space="preserve">  тыс.руб. или на 1 197 915,8 тыс.руб. меньше уровня прогноза 2022 года. Бюджет  прогнозируется с профицитом  10 000,0 тыс. руб.</w:t>
      </w:r>
    </w:p>
    <w:p w:rsidR="00416516" w:rsidRPr="00416516" w:rsidRDefault="00416516" w:rsidP="00416516">
      <w:pPr>
        <w:ind w:firstLine="708"/>
        <w:jc w:val="both"/>
      </w:pPr>
      <w:r w:rsidRPr="00416516">
        <w:t xml:space="preserve">В 2024 году прогноз доходов бюджета городского округа Кинешма имеет тенденцию к уменьшению  на 355 989,8 тыс.руб. или на 75,1% по сравнению с прогнозом 2023 года, а расходы к уменьшению  -  на 357 289,8 тыс.руб. или на 74,8%. Бюджет прогнозируется с профицитом 11 300,0 тыс.руб. </w:t>
      </w:r>
    </w:p>
    <w:p w:rsidR="00416516" w:rsidRPr="00416516" w:rsidRDefault="00416516" w:rsidP="005304BF">
      <w:pPr>
        <w:tabs>
          <w:tab w:val="left" w:pos="2700"/>
        </w:tabs>
        <w:ind w:firstLine="709"/>
        <w:jc w:val="both"/>
        <w:rPr>
          <w:color w:val="000000"/>
        </w:rPr>
      </w:pPr>
      <w:r w:rsidRPr="00416516">
        <w:lastRenderedPageBreak/>
        <w:t xml:space="preserve"> </w:t>
      </w:r>
      <w:r w:rsidR="005304BF">
        <w:t xml:space="preserve">При экспертизе проекта бюджета установлены факты нарушения Бюджетного Законодательства, в части администрирования  доходов. </w:t>
      </w:r>
    </w:p>
    <w:p w:rsidR="00416516" w:rsidRPr="00416516" w:rsidRDefault="00416516" w:rsidP="005304B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6516">
        <w:t xml:space="preserve">   Безвозмездные поступления составляют основную долю поступлений в общем объеме доходов проекта бюджета на 2022 -2024 годы  соответственно 85,2%; 74,1%; 64,9%</w:t>
      </w:r>
      <w:r w:rsidR="005304BF">
        <w:t>.</w:t>
      </w:r>
      <w:r w:rsidRPr="00416516">
        <w:t xml:space="preserve"> </w:t>
      </w:r>
    </w:p>
    <w:p w:rsidR="00416516" w:rsidRPr="00416516" w:rsidRDefault="00416516" w:rsidP="00416516">
      <w:pPr>
        <w:ind w:firstLine="708"/>
        <w:jc w:val="both"/>
        <w:outlineLvl w:val="0"/>
      </w:pPr>
      <w:r w:rsidRPr="00416516">
        <w:t xml:space="preserve"> Объем расходов  бюджета  городского округа Кинешма составляет:</w:t>
      </w:r>
      <w:r w:rsidRPr="00416516">
        <w:tab/>
      </w:r>
    </w:p>
    <w:p w:rsidR="00416516" w:rsidRPr="00416516" w:rsidRDefault="00416516" w:rsidP="00416516">
      <w:pPr>
        <w:ind w:firstLine="708"/>
        <w:jc w:val="both"/>
      </w:pPr>
      <w:r w:rsidRPr="00416516">
        <w:t>- на 2022 год – 2 616 191,1 тыс. руб.,</w:t>
      </w:r>
    </w:p>
    <w:p w:rsidR="00416516" w:rsidRPr="00416516" w:rsidRDefault="00416516" w:rsidP="00416516">
      <w:pPr>
        <w:ind w:firstLine="708"/>
        <w:jc w:val="both"/>
      </w:pPr>
      <w:r w:rsidRPr="00416516">
        <w:t>- на 2023 год – 1 418 275,3 тыс. руб.</w:t>
      </w:r>
    </w:p>
    <w:p w:rsidR="00416516" w:rsidRPr="00416516" w:rsidRDefault="00416516" w:rsidP="00416516">
      <w:pPr>
        <w:ind w:firstLine="708"/>
        <w:jc w:val="both"/>
      </w:pPr>
      <w:r w:rsidRPr="00416516">
        <w:t>- на 2024 год – 1 060 985,5 тыс. руб.</w:t>
      </w:r>
    </w:p>
    <w:p w:rsidR="00416516" w:rsidRPr="00416516" w:rsidRDefault="00416516" w:rsidP="00416516">
      <w:pPr>
        <w:ind w:firstLine="708"/>
        <w:jc w:val="both"/>
      </w:pPr>
      <w:r w:rsidRPr="00416516">
        <w:t>Бюджет имеет социальную направленность В проекте бюджета городского округа Кинешма на социальную сферу из общего объема расходов городского округа на 2022 год предусмотрено 41,6%., охрана окружающей среды – 39,8%, ЖКХ – 7,5%, национальная экономика – 4,5%,общегосударственные вопросы – 4,9%, национальная безопасность и правоохранительная деятельность -0,7%, обслуживание муниципального долга -0,5%, средства массовой информации -0,08%.</w:t>
      </w:r>
    </w:p>
    <w:p w:rsidR="00416516" w:rsidRPr="00416516" w:rsidRDefault="00416516" w:rsidP="00416516">
      <w:pPr>
        <w:ind w:firstLine="708"/>
        <w:jc w:val="both"/>
        <w:rPr>
          <w:color w:val="FF0000"/>
        </w:rPr>
      </w:pPr>
      <w:r w:rsidRPr="00416516">
        <w:t>В соответствии с требованиями бюджетного законодательства проект решения сформирован в программной структуре расходов на основе 16 муниципальных программ городского округа Кинешма.</w:t>
      </w:r>
    </w:p>
    <w:p w:rsidR="00416516" w:rsidRPr="00416516" w:rsidRDefault="00416516" w:rsidP="00416516">
      <w:pPr>
        <w:ind w:firstLine="708"/>
        <w:jc w:val="both"/>
        <w:rPr>
          <w:color w:val="FF0000"/>
        </w:rPr>
      </w:pPr>
      <w:r w:rsidRPr="00416516">
        <w:t>Расходы на реализацию муниципальных программ в общем объеме расходов бюджета городского округа Кинешма в 2022, 2023 и 2024 годах составляют соответственно 98,6%;  98,9%;  98,5%.</w:t>
      </w:r>
    </w:p>
    <w:p w:rsidR="00416516" w:rsidRPr="00416516" w:rsidRDefault="00416516" w:rsidP="00416516">
      <w:pPr>
        <w:ind w:firstLine="709"/>
        <w:jc w:val="both"/>
      </w:pPr>
      <w:r w:rsidRPr="00416516">
        <w:t>Ведомственная структура расходов бюджета городского округа Кинешма  запланированных в проекте решения о бюджете расходов по главным распорядителям бюджетных средств  приведена в  таблице приложение №5 к заключению.</w:t>
      </w:r>
    </w:p>
    <w:p w:rsidR="00416516" w:rsidRPr="00416516" w:rsidRDefault="00416516" w:rsidP="00416516">
      <w:pPr>
        <w:ind w:firstLine="708"/>
        <w:jc w:val="both"/>
      </w:pPr>
      <w:r w:rsidRPr="00416516">
        <w:t xml:space="preserve">Анализ ведомственной структуры бюджета городского округа  показывает, что в 2022-2024 годах расходы бюджета городского округа будут ежегодно осуществлять </w:t>
      </w:r>
      <w:r w:rsidRPr="00416516">
        <w:rPr>
          <w:color w:val="FF0000"/>
        </w:rPr>
        <w:t xml:space="preserve"> </w:t>
      </w:r>
      <w:r w:rsidRPr="00416516">
        <w:rPr>
          <w:color w:val="000000"/>
        </w:rPr>
        <w:t xml:space="preserve">восемь  </w:t>
      </w:r>
      <w:r w:rsidRPr="00416516">
        <w:t>главных распорядителей бюджетных средств.</w:t>
      </w:r>
    </w:p>
    <w:p w:rsidR="00416516" w:rsidRPr="00416516" w:rsidRDefault="00416516" w:rsidP="00416516">
      <w:pPr>
        <w:ind w:firstLine="709"/>
        <w:jc w:val="both"/>
      </w:pPr>
      <w:r w:rsidRPr="00416516">
        <w:t>Пункт 9 проекта решения устанавливает общий объем бюджетных ассигнований, направленных на исполнение публичных нормативных обязательств на 2022 год и плановый период 2023 и 2024 годов:</w:t>
      </w:r>
    </w:p>
    <w:p w:rsidR="00416516" w:rsidRPr="00416516" w:rsidRDefault="00416516" w:rsidP="00416516">
      <w:pPr>
        <w:ind w:firstLine="709"/>
        <w:jc w:val="both"/>
      </w:pPr>
      <w:r w:rsidRPr="00416516">
        <w:t>- на 2022 год  - 3 205,0 тыс. руб.;</w:t>
      </w:r>
    </w:p>
    <w:p w:rsidR="00416516" w:rsidRPr="00416516" w:rsidRDefault="00416516" w:rsidP="00416516">
      <w:pPr>
        <w:ind w:firstLine="709"/>
        <w:jc w:val="both"/>
      </w:pPr>
      <w:r w:rsidRPr="00416516">
        <w:t>- на 2023 год – 3 205,0 тыс. руб.;</w:t>
      </w:r>
    </w:p>
    <w:p w:rsidR="00416516" w:rsidRPr="00416516" w:rsidRDefault="00416516" w:rsidP="00416516">
      <w:pPr>
        <w:ind w:firstLine="709"/>
        <w:jc w:val="both"/>
      </w:pPr>
      <w:r w:rsidRPr="00416516">
        <w:t>- на 2024 год – 3 205,0 тыс. руб.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Резервный фонд согласно пункту 13  проекта решения, составил: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- на 2022 год в сумме 3 000,0 тыс. руб. или 0,1% от общего объема расходов;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- на 2021 год в сумме 3 000,0,0 тыс. руб. или 0,2% от общего объема расходов;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- на 2022 год в сумме 3 000,0 тыс. руб. или 0,2% от общего объема расходов.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Размер резервного фонд Администрации городского округа Кинешма на 2022 год  и плановый период 2023 и 2024 годов  соответствует ст. 81 БК РФ и Порядка использования бюджетных ассигнований резервного фонда Администрации и городского округа Кинешма не превышает 3 процента общего объема расходов.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Пункт 14 проекта решения утверждает объем бюджетных ассигнований  муниципального дорожного фонда   в сумме: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- на 2022 год в сумме 109 053, 3 тыс. руб.;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- на 2023 год в сумме 83 539,2 тыс. руб.;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- на 2024 год в сумме 66 613,7  тыс. руб.</w:t>
      </w:r>
    </w:p>
    <w:p w:rsidR="00416516" w:rsidRPr="00416516" w:rsidRDefault="00416516" w:rsidP="00416516">
      <w:pPr>
        <w:spacing w:line="20" w:lineRule="atLeast"/>
        <w:ind w:firstLine="709"/>
        <w:contextualSpacing/>
        <w:jc w:val="both"/>
      </w:pPr>
      <w:r w:rsidRPr="00416516">
        <w:t>Порядок формирования и использования бюджетных ассигнований муниципального дорожного фонда городского округа Кинешма,  установлен решением городской Думы городского округа Кинешма пятого созыва от 25.09.2013г. №56/574 «О создании муниципального дорожного фонда городского округа Кинешма».</w:t>
      </w:r>
    </w:p>
    <w:p w:rsidR="00416516" w:rsidRPr="00416516" w:rsidRDefault="00416516" w:rsidP="00416516">
      <w:pPr>
        <w:ind w:firstLine="708"/>
        <w:jc w:val="both"/>
      </w:pPr>
      <w:r w:rsidRPr="00416516">
        <w:t xml:space="preserve">Бюджетные ассигнования на  выполнения Реестра наказов избирателей депутатам городской Думы городского округа Кинешма  на 2022 год  предусмотрены в проекте </w:t>
      </w:r>
      <w:r w:rsidRPr="00416516">
        <w:lastRenderedPageBreak/>
        <w:t>бюджета  в рамках   муниципальных программ городского округа Кинешма  по главному распорядителю бюджетных средств - Финансовому управлению администрации г.о. Кинешма в общей сумме  20010,0 тыс. руб.согласно Реестра наказов избирателей депутатам городской Думы городского округа Кинешма  на 2022 от 28.07.2021г. №21/102</w:t>
      </w:r>
    </w:p>
    <w:p w:rsidR="00416516" w:rsidRPr="00416516" w:rsidRDefault="00416516" w:rsidP="00416516">
      <w:pPr>
        <w:ind w:firstLine="708"/>
        <w:jc w:val="both"/>
        <w:rPr>
          <w:color w:val="000000"/>
        </w:rPr>
      </w:pPr>
      <w:r w:rsidRPr="00416516">
        <w:rPr>
          <w:color w:val="000000"/>
        </w:rPr>
        <w:t xml:space="preserve">В пояснительной записке к проекту решения городской Думы городского округа Кинешма «О бюджете  городского округа Кинешма на 2022 год и плановый период 2023 и 2024 годов», не указана методика   планирования бюджетных ассигнований бюджета городского округа Кинешма на очередной 2022 финансовый год и плановый период 2023-2024 год. </w:t>
      </w:r>
    </w:p>
    <w:p w:rsidR="00416516" w:rsidRPr="00416516" w:rsidRDefault="00416516" w:rsidP="005304BF">
      <w:pPr>
        <w:spacing w:line="20" w:lineRule="atLeast"/>
        <w:ind w:firstLine="708"/>
        <w:jc w:val="both"/>
      </w:pPr>
      <w:r w:rsidRPr="00416516">
        <w:t>Дефицит</w:t>
      </w:r>
      <w:r w:rsidR="005304BF">
        <w:t>,</w:t>
      </w:r>
      <w:r w:rsidRPr="00416516">
        <w:t xml:space="preserve"> состав источников  внутреннего финансирования дефицита бюджета городского округа Кинешма</w:t>
      </w:r>
      <w:r w:rsidR="005304BF">
        <w:t xml:space="preserve">, </w:t>
      </w:r>
      <w:r w:rsidRPr="00416516">
        <w:t>предельный объем муниципального долга городского округа Кинешма</w:t>
      </w:r>
      <w:r w:rsidR="005304BF">
        <w:t>, в</w:t>
      </w:r>
      <w:r w:rsidRPr="00416516">
        <w:t>ерхний предел муниципального долга  городского округа Кинешма</w:t>
      </w:r>
      <w:r w:rsidR="005304BF">
        <w:t>,</w:t>
      </w:r>
      <w:r w:rsidRPr="00416516">
        <w:t xml:space="preserve"> </w:t>
      </w:r>
      <w:r w:rsidR="005304BF">
        <w:t>о</w:t>
      </w:r>
      <w:r w:rsidRPr="00416516">
        <w:t>бъём расходов на обслуживание муниципального долга городского округа Кинешма</w:t>
      </w:r>
      <w:r w:rsidR="005304BF">
        <w:t>,</w:t>
      </w:r>
      <w:r w:rsidRPr="00416516">
        <w:t xml:space="preserve">  </w:t>
      </w:r>
      <w:r w:rsidR="005304BF">
        <w:t>п</w:t>
      </w:r>
      <w:r w:rsidR="005304BF" w:rsidRPr="00416516">
        <w:t xml:space="preserve">редельный объем заимствований </w:t>
      </w:r>
      <w:r w:rsidRPr="00416516">
        <w:t>соответствует нормам Бюджетного кодекса РФ</w:t>
      </w:r>
      <w:r w:rsidR="005304BF">
        <w:t>.</w:t>
      </w:r>
    </w:p>
    <w:p w:rsidR="00416516" w:rsidRPr="00416516" w:rsidRDefault="00416516" w:rsidP="00416516">
      <w:pPr>
        <w:ind w:firstLine="708"/>
        <w:jc w:val="both"/>
      </w:pPr>
      <w:r w:rsidRPr="00416516">
        <w:t>Проект бюджета городского округа Кинешма на 2022 год и плановый период 2023 и 2024 годов в целом соответствует бюджетному законодательству и основным направлениям налоговой и бюджетной политики городского округа Кинешма.</w:t>
      </w:r>
    </w:p>
    <w:p w:rsidR="00604058" w:rsidRPr="00416516" w:rsidRDefault="00604058" w:rsidP="00604058">
      <w:pPr>
        <w:ind w:firstLine="708"/>
        <w:jc w:val="both"/>
      </w:pPr>
    </w:p>
    <w:p w:rsidR="00416516" w:rsidRPr="00416516" w:rsidRDefault="00991E25" w:rsidP="005304BF">
      <w:pPr>
        <w:ind w:firstLine="709"/>
        <w:jc w:val="both"/>
      </w:pPr>
      <w:r w:rsidRPr="00416516">
        <w:t xml:space="preserve">Заключение контрольно-счетной комиссии городского округа Кинешма  на проект решения городской Думы городского округа Кинешма  «О бюджете городского округа Кинешма на 2022 год и плановый период 2023 и 2024 годов направлен в городскую Думу городского округа Кинешма  и Главе городского округа Кинешма  </w:t>
      </w:r>
    </w:p>
    <w:p w:rsidR="00416516" w:rsidRPr="00416516" w:rsidRDefault="00416516" w:rsidP="00416516">
      <w:pPr>
        <w:jc w:val="both"/>
      </w:pPr>
    </w:p>
    <w:p w:rsidR="00416516" w:rsidRPr="00146344" w:rsidRDefault="00416516" w:rsidP="00416516">
      <w:pPr>
        <w:jc w:val="both"/>
        <w:rPr>
          <w:b/>
          <w:bCs/>
        </w:rPr>
      </w:pPr>
      <w:r w:rsidRPr="00146344">
        <w:rPr>
          <w:b/>
          <w:bCs/>
        </w:rPr>
        <w:t xml:space="preserve">Председатель </w:t>
      </w:r>
    </w:p>
    <w:p w:rsidR="00416516" w:rsidRPr="00146344" w:rsidRDefault="00416516" w:rsidP="00416516">
      <w:pPr>
        <w:autoSpaceDE w:val="0"/>
        <w:autoSpaceDN w:val="0"/>
        <w:adjustRightInd w:val="0"/>
        <w:jc w:val="both"/>
        <w:rPr>
          <w:b/>
          <w:bCs/>
        </w:rPr>
      </w:pPr>
      <w:r w:rsidRPr="00146344">
        <w:rPr>
          <w:b/>
          <w:bCs/>
        </w:rPr>
        <w:t xml:space="preserve">контрольно-счётной комиссии </w:t>
      </w:r>
    </w:p>
    <w:p w:rsidR="00416516" w:rsidRPr="00146344" w:rsidRDefault="00416516" w:rsidP="00416516">
      <w:pPr>
        <w:autoSpaceDE w:val="0"/>
        <w:autoSpaceDN w:val="0"/>
        <w:adjustRightInd w:val="0"/>
        <w:jc w:val="both"/>
        <w:rPr>
          <w:b/>
          <w:bCs/>
        </w:rPr>
      </w:pPr>
      <w:r w:rsidRPr="00146344">
        <w:rPr>
          <w:b/>
          <w:bCs/>
        </w:rPr>
        <w:t xml:space="preserve">городского округа Кинешма </w:t>
      </w:r>
      <w:r>
        <w:rPr>
          <w:b/>
          <w:bCs/>
        </w:rPr>
        <w:t xml:space="preserve">                                                                                   Е.А. Лорец</w:t>
      </w:r>
    </w:p>
    <w:p w:rsidR="00416516" w:rsidRPr="00146344" w:rsidRDefault="00416516" w:rsidP="00416516">
      <w:pPr>
        <w:autoSpaceDE w:val="0"/>
        <w:autoSpaceDN w:val="0"/>
        <w:adjustRightInd w:val="0"/>
        <w:jc w:val="both"/>
        <w:rPr>
          <w:b/>
          <w:bCs/>
        </w:rPr>
      </w:pPr>
    </w:p>
    <w:p w:rsidR="00E83FA2" w:rsidRDefault="00E83FA2" w:rsidP="00991E25">
      <w:pPr>
        <w:ind w:firstLine="709"/>
        <w:jc w:val="both"/>
      </w:pPr>
    </w:p>
    <w:sectPr w:rsidR="00E83FA2" w:rsidSect="00E8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C50" w:rsidRDefault="00077C50">
      <w:r>
        <w:separator/>
      </w:r>
    </w:p>
  </w:endnote>
  <w:endnote w:type="continuationSeparator" w:id="1">
    <w:p w:rsidR="00077C50" w:rsidRDefault="0007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C50" w:rsidRDefault="00077C50">
      <w:r>
        <w:separator/>
      </w:r>
    </w:p>
  </w:footnote>
  <w:footnote w:type="continuationSeparator" w:id="1">
    <w:p w:rsidR="00077C50" w:rsidRDefault="00077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A2"/>
    <w:rsid w:val="00077C50"/>
    <w:rsid w:val="0019273F"/>
    <w:rsid w:val="003C290E"/>
    <w:rsid w:val="00416516"/>
    <w:rsid w:val="005304BF"/>
    <w:rsid w:val="005A33CE"/>
    <w:rsid w:val="005F7BDE"/>
    <w:rsid w:val="00604058"/>
    <w:rsid w:val="00705AAC"/>
    <w:rsid w:val="00734D54"/>
    <w:rsid w:val="00925AEB"/>
    <w:rsid w:val="00957B15"/>
    <w:rsid w:val="00991E25"/>
    <w:rsid w:val="00A530F0"/>
    <w:rsid w:val="00AD1AC3"/>
    <w:rsid w:val="00B45E7B"/>
    <w:rsid w:val="00DE007F"/>
    <w:rsid w:val="00E55A87"/>
    <w:rsid w:val="00E83FA2"/>
    <w:rsid w:val="00EA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83F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83FA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83F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83F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E83F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83F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83F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83FA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E83F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83F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83F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83F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83F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83F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83F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83F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83FA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83FA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83FA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83FA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83FA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E83FA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83F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83FA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83F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83FA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83FA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E83FA2"/>
  </w:style>
  <w:style w:type="paragraph" w:customStyle="1" w:styleId="Footer">
    <w:name w:val="Footer"/>
    <w:basedOn w:val="a"/>
    <w:link w:val="CaptionChar"/>
    <w:uiPriority w:val="99"/>
    <w:unhideWhenUsed/>
    <w:rsid w:val="00E83FA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83FA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83FA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83FA2"/>
  </w:style>
  <w:style w:type="table" w:styleId="aa">
    <w:name w:val="Table Grid"/>
    <w:basedOn w:val="a1"/>
    <w:uiPriority w:val="59"/>
    <w:rsid w:val="00E83F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83F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83F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E8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83FA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8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83FA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3FA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83FA2"/>
    <w:rPr>
      <w:sz w:val="18"/>
    </w:rPr>
  </w:style>
  <w:style w:type="character" w:styleId="ae">
    <w:name w:val="footnote reference"/>
    <w:basedOn w:val="a0"/>
    <w:uiPriority w:val="99"/>
    <w:unhideWhenUsed/>
    <w:rsid w:val="00E83FA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83FA2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83FA2"/>
    <w:rPr>
      <w:sz w:val="20"/>
    </w:rPr>
  </w:style>
  <w:style w:type="character" w:styleId="af1">
    <w:name w:val="endnote reference"/>
    <w:basedOn w:val="a0"/>
    <w:uiPriority w:val="99"/>
    <w:semiHidden/>
    <w:unhideWhenUsed/>
    <w:rsid w:val="00E83FA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83FA2"/>
    <w:pPr>
      <w:spacing w:after="57"/>
    </w:pPr>
  </w:style>
  <w:style w:type="paragraph" w:styleId="21">
    <w:name w:val="toc 2"/>
    <w:basedOn w:val="a"/>
    <w:next w:val="a"/>
    <w:uiPriority w:val="39"/>
    <w:unhideWhenUsed/>
    <w:rsid w:val="00E83FA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83FA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83FA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83FA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83FA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83F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83FA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83FA2"/>
    <w:pPr>
      <w:spacing w:after="57"/>
      <w:ind w:left="2268"/>
    </w:pPr>
  </w:style>
  <w:style w:type="paragraph" w:styleId="af2">
    <w:name w:val="TOC Heading"/>
    <w:uiPriority w:val="39"/>
    <w:unhideWhenUsed/>
    <w:rsid w:val="00E83FA2"/>
  </w:style>
  <w:style w:type="paragraph" w:styleId="af3">
    <w:name w:val="table of figures"/>
    <w:basedOn w:val="a"/>
    <w:next w:val="a"/>
    <w:uiPriority w:val="99"/>
    <w:unhideWhenUsed/>
    <w:rsid w:val="00E83FA2"/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E83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No Spacing"/>
    <w:link w:val="af5"/>
    <w:qFormat/>
    <w:rsid w:val="00E83FA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5">
    <w:name w:val="Без интервала Знак"/>
    <w:link w:val="af4"/>
    <w:rsid w:val="00E83FA2"/>
    <w:rPr>
      <w:rFonts w:ascii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Heading3"/>
    <w:uiPriority w:val="9"/>
    <w:semiHidden/>
    <w:rsid w:val="00E83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604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Стиль2"/>
    <w:basedOn w:val="a"/>
    <w:rsid w:val="00604058"/>
    <w:pPr>
      <w:ind w:firstLine="709"/>
      <w:jc w:val="both"/>
    </w:pPr>
    <w:rPr>
      <w:sz w:val="28"/>
      <w:szCs w:val="20"/>
    </w:rPr>
  </w:style>
  <w:style w:type="paragraph" w:customStyle="1" w:styleId="10">
    <w:name w:val="Без интервала1"/>
    <w:link w:val="NoSpacingChar"/>
    <w:rsid w:val="006040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604058"/>
    <w:rPr>
      <w:rFonts w:ascii="Calibri" w:eastAsia="Times New Roman" w:hAnsi="Calibri" w:cs="Times New Roman"/>
    </w:rPr>
  </w:style>
  <w:style w:type="paragraph" w:customStyle="1" w:styleId="NoSpacing">
    <w:name w:val="No Spacing"/>
    <w:rsid w:val="00416516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header"/>
    <w:basedOn w:val="a"/>
    <w:link w:val="af7"/>
    <w:uiPriority w:val="99"/>
    <w:semiHidden/>
    <w:unhideWhenUsed/>
    <w:rsid w:val="0041651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1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4165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16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KSK1</cp:lastModifiedBy>
  <cp:revision>8</cp:revision>
  <cp:lastPrinted>2021-12-30T07:26:00Z</cp:lastPrinted>
  <dcterms:created xsi:type="dcterms:W3CDTF">2021-11-24T11:56:00Z</dcterms:created>
  <dcterms:modified xsi:type="dcterms:W3CDTF">2021-12-30T08:25:00Z</dcterms:modified>
</cp:coreProperties>
</file>